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794" w:type="dxa"/>
        <w:jc w:val="center"/>
        <w:tblLook w:val="04A0" w:firstRow="1" w:lastRow="0" w:firstColumn="1" w:lastColumn="0" w:noHBand="0" w:noVBand="1"/>
      </w:tblPr>
      <w:tblGrid>
        <w:gridCol w:w="8794"/>
      </w:tblGrid>
      <w:tr w:rsidR="006E4F4D" w:rsidTr="006E4F4D">
        <w:trPr>
          <w:trHeight w:val="360"/>
          <w:jc w:val="center"/>
        </w:trPr>
        <w:tc>
          <w:tcPr>
            <w:tcW w:w="8794" w:type="dxa"/>
            <w:hideMark/>
          </w:tcPr>
          <w:p w:rsidR="006E4F4D" w:rsidRDefault="00985A9F">
            <w:pPr>
              <w:spacing w:line="360" w:lineRule="auto"/>
              <w:rPr>
                <w:sz w:val="28"/>
                <w:szCs w:val="28"/>
              </w:rPr>
            </w:pPr>
            <w:bookmarkStart w:id="0" w:name="_GoBack"/>
            <w:bookmarkEnd w:id="0"/>
            <w:r>
              <w:rPr>
                <w:rFonts w:hint="cs"/>
                <w:b/>
                <w:bCs/>
                <w:sz w:val="26"/>
                <w:szCs w:val="26"/>
                <w:rtl/>
              </w:rPr>
              <w:t>לפני</w:t>
            </w:r>
            <w:r>
              <w:rPr>
                <w:rFonts w:hint="cs"/>
                <w:b/>
                <w:bCs/>
                <w:sz w:val="28"/>
                <w:szCs w:val="28"/>
                <w:rtl/>
              </w:rPr>
              <w:t xml:space="preserve"> </w:t>
            </w:r>
            <w:r>
              <w:rPr>
                <w:rFonts w:hint="cs"/>
                <w:b/>
                <w:bCs/>
                <w:sz w:val="26"/>
                <w:szCs w:val="26"/>
                <w:rtl/>
              </w:rPr>
              <w:t>הרכב כבוד השופטים</w:t>
            </w:r>
            <w:r>
              <w:rPr>
                <w:rFonts w:hint="cs"/>
                <w:b/>
                <w:bCs/>
                <w:sz w:val="28"/>
                <w:szCs w:val="28"/>
                <w:rtl/>
              </w:rPr>
              <w:t>:</w:t>
            </w:r>
          </w:p>
          <w:p w:rsidR="006E4F4D" w:rsidRDefault="00985A9F">
            <w:pPr>
              <w:spacing w:line="360" w:lineRule="auto"/>
              <w:rPr>
                <w:rFonts w:ascii="David" w:hAnsi="David"/>
                <w:b/>
                <w:bCs/>
                <w:sz w:val="26"/>
                <w:szCs w:val="26"/>
              </w:rPr>
            </w:pPr>
            <w:r>
              <w:rPr>
                <w:rFonts w:hint="cs"/>
                <w:b/>
                <w:bCs/>
                <w:sz w:val="26"/>
                <w:szCs w:val="26"/>
                <w:rtl/>
              </w:rPr>
              <w:t>סארי ג'יוסי [אב"ד]</w:t>
            </w:r>
          </w:p>
          <w:p w:rsidR="006E4F4D" w:rsidRDefault="00985A9F">
            <w:pPr>
              <w:spacing w:line="360" w:lineRule="auto"/>
              <w:rPr>
                <w:b/>
                <w:bCs/>
                <w:sz w:val="26"/>
                <w:szCs w:val="26"/>
              </w:rPr>
            </w:pPr>
            <w:r>
              <w:rPr>
                <w:rFonts w:hint="cs"/>
                <w:b/>
                <w:bCs/>
                <w:sz w:val="26"/>
                <w:szCs w:val="26"/>
                <w:rtl/>
              </w:rPr>
              <w:t>עפרה אטיאס</w:t>
            </w:r>
          </w:p>
          <w:p w:rsidR="006E4F4D" w:rsidRDefault="00985A9F">
            <w:pPr>
              <w:spacing w:line="360" w:lineRule="auto"/>
              <w:rPr>
                <w:b/>
                <w:bCs/>
                <w:sz w:val="26"/>
                <w:szCs w:val="26"/>
                <w:rtl/>
              </w:rPr>
            </w:pPr>
            <w:r>
              <w:rPr>
                <w:rFonts w:hint="cs"/>
                <w:b/>
                <w:bCs/>
                <w:sz w:val="26"/>
                <w:szCs w:val="26"/>
                <w:rtl/>
              </w:rPr>
              <w:t>ניצן סילמן</w:t>
            </w:r>
          </w:p>
        </w:tc>
      </w:tr>
    </w:tbl>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6E4F4D" w:rsidTr="006E4F4D">
        <w:tc>
          <w:tcPr>
            <w:tcW w:w="3246" w:type="dxa"/>
          </w:tcPr>
          <w:p w:rsidR="006E4F4D" w:rsidRDefault="00EE0092">
            <w:pPr>
              <w:suppressLineNumbers/>
              <w:rPr>
                <w:rFonts w:ascii="David" w:eastAsia="David" w:hAnsi="David"/>
                <w:b/>
                <w:bCs/>
              </w:rPr>
            </w:pPr>
          </w:p>
          <w:p w:rsidR="006E4F4D" w:rsidRPr="00873F12" w:rsidRDefault="00873F12">
            <w:pPr>
              <w:suppressLineNumbers/>
              <w:rPr>
                <w:rFonts w:ascii="David" w:eastAsia="David" w:hAnsi="David"/>
                <w:b/>
                <w:bCs/>
                <w:u w:val="single"/>
                <w:rtl/>
              </w:rPr>
            </w:pPr>
            <w:r w:rsidRPr="00873F12">
              <w:rPr>
                <w:rFonts w:ascii="David" w:eastAsia="David" w:hAnsi="David" w:hint="cs"/>
                <w:b/>
                <w:bCs/>
                <w:u w:val="single"/>
                <w:rtl/>
              </w:rPr>
              <w:t>המערערת</w:t>
            </w:r>
          </w:p>
        </w:tc>
        <w:tc>
          <w:tcPr>
            <w:tcW w:w="5734" w:type="dxa"/>
          </w:tcPr>
          <w:p w:rsidR="006E4F4D" w:rsidRDefault="00EE0092">
            <w:pPr>
              <w:suppressLineNumbers/>
              <w:rPr>
                <w:b/>
                <w:bCs/>
                <w:rtl/>
              </w:rPr>
            </w:pPr>
          </w:p>
          <w:p w:rsidR="006E4F4D" w:rsidRDefault="00985A9F" w:rsidP="000B3F3C">
            <w:pPr>
              <w:suppressLineNumbers/>
              <w:rPr>
                <w:rtl/>
              </w:rPr>
            </w:pPr>
            <w:r>
              <w:rPr>
                <w:rFonts w:ascii="David" w:eastAsia="David" w:hAnsi="David" w:hint="cs"/>
                <w:b/>
                <w:bCs/>
                <w:rtl/>
              </w:rPr>
              <w:t xml:space="preserve"> </w:t>
            </w:r>
            <w:r w:rsidR="000B3F3C">
              <w:rPr>
                <w:rFonts w:ascii="David" w:eastAsia="David" w:hAnsi="David" w:hint="cs"/>
                <w:b/>
                <w:bCs/>
                <w:rtl/>
              </w:rPr>
              <w:t>פלונית</w:t>
            </w:r>
            <w:r>
              <w:rPr>
                <w:rFonts w:hint="cs"/>
                <w:b/>
                <w:bCs/>
                <w:rtl/>
              </w:rPr>
              <w:t xml:space="preserve"> </w:t>
            </w:r>
          </w:p>
          <w:p w:rsidR="006E4F4D" w:rsidRDefault="00FD3CFD">
            <w:pPr>
              <w:suppressLineNumbers/>
              <w:rPr>
                <w:rFonts w:ascii="David" w:eastAsia="David" w:hAnsi="David"/>
                <w:b/>
                <w:bCs/>
              </w:rPr>
            </w:pPr>
            <w:r>
              <w:rPr>
                <w:rFonts w:ascii="David" w:eastAsia="David" w:hAnsi="David" w:hint="cs"/>
                <w:b/>
                <w:bCs/>
                <w:rtl/>
              </w:rPr>
              <w:t xml:space="preserve"> ע"י ב"כ עו"ד דקל מנחמי</w:t>
            </w:r>
          </w:p>
        </w:tc>
      </w:tr>
      <w:tr w:rsidR="006E4F4D" w:rsidTr="006E4F4D">
        <w:tc>
          <w:tcPr>
            <w:tcW w:w="8980" w:type="dxa"/>
            <w:gridSpan w:val="2"/>
          </w:tcPr>
          <w:p w:rsidR="006E4F4D" w:rsidRDefault="00EE0092">
            <w:pPr>
              <w:suppressLineNumbers/>
              <w:rPr>
                <w:rFonts w:ascii="David" w:eastAsia="David" w:hAnsi="David"/>
                <w:b/>
                <w:bCs/>
                <w:rtl/>
              </w:rPr>
            </w:pPr>
          </w:p>
          <w:p w:rsidR="006E4F4D" w:rsidRDefault="00985A9F">
            <w:pPr>
              <w:suppressLineNumbers/>
              <w:jc w:val="center"/>
              <w:rPr>
                <w:rFonts w:ascii="David" w:eastAsia="David" w:hAnsi="David"/>
                <w:b/>
                <w:bCs/>
                <w:rtl/>
              </w:rPr>
            </w:pPr>
            <w:r>
              <w:rPr>
                <w:rFonts w:ascii="David" w:eastAsia="David" w:hAnsi="David" w:hint="cs"/>
                <w:b/>
                <w:bCs/>
                <w:rtl/>
              </w:rPr>
              <w:t>נגד</w:t>
            </w:r>
          </w:p>
          <w:p w:rsidR="006E4F4D" w:rsidRDefault="00EE0092">
            <w:pPr>
              <w:suppressLineNumbers/>
              <w:rPr>
                <w:rFonts w:ascii="David" w:eastAsia="David" w:hAnsi="David"/>
                <w:b/>
                <w:bCs/>
                <w:rtl/>
              </w:rPr>
            </w:pPr>
          </w:p>
        </w:tc>
      </w:tr>
      <w:tr w:rsidR="006E4F4D" w:rsidTr="006E4F4D">
        <w:trPr>
          <w:trHeight w:val="740"/>
        </w:trPr>
        <w:tc>
          <w:tcPr>
            <w:tcW w:w="3246" w:type="dxa"/>
            <w:hideMark/>
          </w:tcPr>
          <w:p w:rsidR="006E4F4D" w:rsidRPr="00873F12" w:rsidRDefault="00985A9F">
            <w:pPr>
              <w:suppressLineNumbers/>
              <w:rPr>
                <w:rFonts w:ascii="David" w:eastAsia="David" w:hAnsi="David"/>
                <w:b/>
                <w:bCs/>
                <w:u w:val="single"/>
                <w:rtl/>
              </w:rPr>
            </w:pPr>
            <w:r w:rsidRPr="00873F12">
              <w:rPr>
                <w:rFonts w:ascii="David" w:eastAsia="David" w:hAnsi="David" w:hint="cs"/>
                <w:b/>
                <w:bCs/>
                <w:u w:val="single"/>
                <w:rtl/>
              </w:rPr>
              <w:t>ה</w:t>
            </w:r>
            <w:r w:rsidR="00873F12" w:rsidRPr="00873F12">
              <w:rPr>
                <w:rFonts w:ascii="David" w:eastAsia="David" w:hAnsi="David"/>
                <w:b/>
                <w:bCs/>
                <w:u w:val="single"/>
                <w:rtl/>
              </w:rPr>
              <w:t>משיב</w:t>
            </w:r>
          </w:p>
        </w:tc>
        <w:tc>
          <w:tcPr>
            <w:tcW w:w="5734" w:type="dxa"/>
            <w:hideMark/>
          </w:tcPr>
          <w:p w:rsidR="006E4F4D" w:rsidRDefault="00985A9F" w:rsidP="000B3F3C">
            <w:pPr>
              <w:suppressLineNumbers/>
              <w:rPr>
                <w:b/>
                <w:bCs/>
                <w:rtl/>
              </w:rPr>
            </w:pPr>
            <w:r>
              <w:rPr>
                <w:rFonts w:ascii="David" w:eastAsia="David" w:hAnsi="David" w:hint="cs"/>
                <w:b/>
                <w:bCs/>
                <w:rtl/>
              </w:rPr>
              <w:t xml:space="preserve"> </w:t>
            </w:r>
            <w:r w:rsidR="000B3F3C">
              <w:rPr>
                <w:rFonts w:ascii="David" w:eastAsia="David" w:hAnsi="David" w:hint="cs"/>
                <w:b/>
                <w:bCs/>
                <w:rtl/>
              </w:rPr>
              <w:t>פלוני</w:t>
            </w:r>
            <w:r>
              <w:rPr>
                <w:rFonts w:hint="cs"/>
                <w:b/>
                <w:bCs/>
                <w:rtl/>
              </w:rPr>
              <w:t xml:space="preserve">  </w:t>
            </w:r>
          </w:p>
          <w:p w:rsidR="00FD3CFD" w:rsidRDefault="00FD3CFD" w:rsidP="00452BBE">
            <w:pPr>
              <w:suppressLineNumbers/>
              <w:rPr>
                <w:rFonts w:ascii="David" w:eastAsia="David" w:hAnsi="David"/>
                <w:b/>
                <w:bCs/>
                <w:rtl/>
              </w:rPr>
            </w:pPr>
            <w:r>
              <w:rPr>
                <w:rFonts w:ascii="David" w:eastAsia="David" w:hAnsi="David" w:hint="cs"/>
                <w:b/>
                <w:bCs/>
                <w:rtl/>
              </w:rPr>
              <w:t xml:space="preserve"> ע"י ב"כ עו"ד מקסים ליפקין </w:t>
            </w:r>
          </w:p>
          <w:p w:rsidR="00FD3CFD" w:rsidRDefault="00FD3CFD">
            <w:pPr>
              <w:suppressLineNumbers/>
              <w:rPr>
                <w:rFonts w:ascii="David" w:eastAsia="David" w:hAnsi="David"/>
                <w:b/>
                <w:bCs/>
                <w:rtl/>
              </w:rPr>
            </w:pPr>
          </w:p>
          <w:p w:rsidR="00FD3CFD" w:rsidRDefault="00FD3CFD">
            <w:pPr>
              <w:suppressLineNumbers/>
              <w:rPr>
                <w:rFonts w:ascii="David" w:eastAsia="David" w:hAnsi="David"/>
                <w:b/>
                <w:bCs/>
                <w:rtl/>
              </w:rPr>
            </w:pPr>
          </w:p>
        </w:tc>
      </w:tr>
    </w:tbl>
    <w:p w:rsidR="006E4F4D" w:rsidRDefault="00985A9F" w:rsidP="006E4F4D">
      <w:pPr>
        <w:spacing w:line="360" w:lineRule="auto"/>
        <w:jc w:val="both"/>
        <w:rPr>
          <w:rFonts w:ascii="David" w:eastAsia="David" w:hAnsi="David"/>
          <w:b/>
          <w:bCs/>
          <w:rtl/>
        </w:rPr>
      </w:pPr>
      <w:r>
        <w:rPr>
          <w:rFonts w:hint="cs"/>
          <w:b/>
          <w:bCs/>
          <w:rtl/>
        </w:rPr>
        <w:t>ערעור על החלטות בית משפט לענייני משפחה בקריות (כב' השופטת מאיה לוי) מיום 11.12.23 ו-12.12.23 בתיק תלה"מ 36647-06-22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873F12" w:rsidRDefault="00873F12" w:rsidP="000B3F3C">
      <w:pPr>
        <w:spacing w:line="360" w:lineRule="auto"/>
        <w:jc w:val="both"/>
        <w:rPr>
          <w:rFonts w:ascii="Arial" w:hAnsi="Arial"/>
          <w:rtl/>
        </w:rPr>
      </w:pPr>
      <w:bookmarkStart w:id="1" w:name="NGCSBookmark"/>
      <w:bookmarkEnd w:id="1"/>
      <w:r>
        <w:rPr>
          <w:rFonts w:ascii="Arial" w:hAnsi="Arial"/>
          <w:rtl/>
        </w:rPr>
        <w:t xml:space="preserve">ערעור על </w:t>
      </w:r>
      <w:r>
        <w:rPr>
          <w:rFonts w:ascii="Arial" w:hAnsi="Arial"/>
          <w:b/>
          <w:bCs/>
          <w:rtl/>
        </w:rPr>
        <w:t>החלטות</w:t>
      </w:r>
      <w:r>
        <w:rPr>
          <w:rFonts w:ascii="Arial" w:hAnsi="Arial"/>
          <w:rtl/>
        </w:rPr>
        <w:t xml:space="preserve"> </w:t>
      </w:r>
      <w:r w:rsidR="00583996">
        <w:rPr>
          <w:rFonts w:ascii="Arial" w:hAnsi="Arial"/>
          <w:rtl/>
        </w:rPr>
        <w:t>בית המשפט</w:t>
      </w:r>
      <w:r>
        <w:rPr>
          <w:rFonts w:ascii="Arial" w:hAnsi="Arial"/>
          <w:rtl/>
        </w:rPr>
        <w:t xml:space="preserve"> לענייני משפחה בקריות (כב' השופטת לוי) מתאריכים 11.12 ו- 12.12 המורות על צו פירוק שיתוף בנחלה במושב </w:t>
      </w:r>
      <w:r w:rsidR="000B3F3C" w:rsidRPr="000B3F3C">
        <w:rPr>
          <w:rFonts w:ascii="David" w:hAnsi="David"/>
        </w:rPr>
        <w:t>xxxx</w:t>
      </w:r>
      <w:r>
        <w:rPr>
          <w:rFonts w:ascii="Arial" w:hAnsi="Arial"/>
          <w:rtl/>
        </w:rPr>
        <w:t xml:space="preserve"> והדוחה בקשת המערערת לתיקון כתב תביעתה.</w:t>
      </w:r>
    </w:p>
    <w:p w:rsidR="00873F12" w:rsidRDefault="00873F12" w:rsidP="00873F12">
      <w:pPr>
        <w:spacing w:line="360" w:lineRule="auto"/>
        <w:jc w:val="both"/>
        <w:rPr>
          <w:rFonts w:ascii="Arial" w:hAnsi="Arial"/>
          <w:rtl/>
        </w:rPr>
      </w:pPr>
    </w:p>
    <w:p w:rsidR="00873F12" w:rsidRDefault="00873F12" w:rsidP="00873F12">
      <w:pPr>
        <w:spacing w:line="360" w:lineRule="auto"/>
        <w:jc w:val="both"/>
        <w:rPr>
          <w:rFonts w:ascii="Arial" w:hAnsi="Arial"/>
          <w:rtl/>
        </w:rPr>
      </w:pPr>
      <w:r>
        <w:rPr>
          <w:rFonts w:ascii="Arial" w:hAnsi="Arial"/>
          <w:b/>
          <w:bCs/>
          <w:rtl/>
        </w:rPr>
        <w:t xml:space="preserve">רקע עובדתי – </w:t>
      </w:r>
    </w:p>
    <w:p w:rsidR="00873F12" w:rsidRDefault="00873F12" w:rsidP="00873F12">
      <w:pPr>
        <w:spacing w:line="360" w:lineRule="auto"/>
        <w:jc w:val="both"/>
        <w:rPr>
          <w:rFonts w:ascii="David" w:hAnsi="David"/>
          <w:rtl/>
        </w:rPr>
      </w:pPr>
      <w:r>
        <w:rPr>
          <w:rFonts w:ascii="David" w:hAnsi="David"/>
          <w:rtl/>
        </w:rPr>
        <w:t>1.</w:t>
      </w:r>
      <w:r>
        <w:rPr>
          <w:rFonts w:ascii="David" w:hAnsi="David"/>
          <w:rtl/>
        </w:rPr>
        <w:tab/>
        <w:t>הצדדים נישאו בשנת 2007, ונולדו להם 4 ילדים. יחסי הצדדים עלו על שרטון, והמערערת</w:t>
      </w:r>
      <w:r>
        <w:rPr>
          <w:rFonts w:ascii="David" w:hAnsi="David" w:hint="cs"/>
          <w:rtl/>
        </w:rPr>
        <w:t xml:space="preserve"> </w:t>
      </w:r>
    </w:p>
    <w:p w:rsidR="00873F12" w:rsidRDefault="00873F12" w:rsidP="000B3F3C">
      <w:pPr>
        <w:spacing w:line="360" w:lineRule="auto"/>
        <w:jc w:val="both"/>
        <w:rPr>
          <w:rFonts w:ascii="David" w:hAnsi="David"/>
          <w:rtl/>
        </w:rPr>
      </w:pPr>
      <w:r>
        <w:rPr>
          <w:rFonts w:ascii="David" w:hAnsi="David"/>
          <w:rtl/>
        </w:rPr>
        <w:t xml:space="preserve">הגישה תביעה רכושית מסגרתה טענה, בין היתר, כי בבעלות הצדדים נחלה משותפת במושב </w:t>
      </w:r>
      <w:r w:rsidR="000B3F3C">
        <w:rPr>
          <w:rFonts w:ascii="David" w:hAnsi="David"/>
        </w:rPr>
        <w:t>xxxx</w:t>
      </w:r>
    </w:p>
    <w:p w:rsidR="00873F12" w:rsidRDefault="00873F12" w:rsidP="00873F12">
      <w:pPr>
        <w:spacing w:line="360" w:lineRule="auto"/>
        <w:jc w:val="both"/>
        <w:rPr>
          <w:rFonts w:ascii="David" w:hAnsi="David"/>
          <w:rtl/>
        </w:rPr>
      </w:pPr>
      <w:r>
        <w:rPr>
          <w:rFonts w:ascii="David" w:hAnsi="David"/>
          <w:rtl/>
        </w:rPr>
        <w:t xml:space="preserve">שהזכויות בה הוענקו להם במתנה מסבתה ועתרה למתן צו לפירוק שיתוף "מחצה על מחצה", תוך </w:t>
      </w:r>
    </w:p>
    <w:p w:rsidR="00873F12" w:rsidRDefault="00873F12" w:rsidP="00873F12">
      <w:pPr>
        <w:spacing w:line="360" w:lineRule="auto"/>
        <w:jc w:val="both"/>
        <w:rPr>
          <w:rFonts w:ascii="David" w:eastAsiaTheme="minorHAnsi" w:hAnsi="David"/>
          <w:rtl/>
        </w:rPr>
      </w:pPr>
      <w:r>
        <w:rPr>
          <w:rFonts w:ascii="David" w:hAnsi="David"/>
          <w:rtl/>
        </w:rPr>
        <w:t xml:space="preserve">שתינתן לה זכות קדימה לרכוש את חלקו של המשיב. </w:t>
      </w:r>
    </w:p>
    <w:p w:rsidR="00873F12" w:rsidRDefault="00873F12" w:rsidP="00873F12">
      <w:pPr>
        <w:spacing w:line="360" w:lineRule="auto"/>
        <w:jc w:val="both"/>
        <w:rPr>
          <w:rFonts w:ascii="David" w:hAnsi="David"/>
          <w:rtl/>
        </w:rPr>
      </w:pPr>
      <w:r>
        <w:rPr>
          <w:rFonts w:ascii="David" w:hAnsi="David"/>
          <w:rtl/>
        </w:rPr>
        <w:t xml:space="preserve">כמו כן, עתרה המערערת למינוי שמאי להערכת שווי הנחלה ומינוי אקטואר לאיזון זכויות וחובות </w:t>
      </w:r>
    </w:p>
    <w:p w:rsidR="00873F12" w:rsidRDefault="00873F12" w:rsidP="00873F12">
      <w:pPr>
        <w:spacing w:line="360" w:lineRule="auto"/>
        <w:jc w:val="both"/>
        <w:rPr>
          <w:rFonts w:ascii="David" w:hAnsi="David"/>
          <w:rtl/>
        </w:rPr>
      </w:pPr>
      <w:r>
        <w:rPr>
          <w:rFonts w:ascii="David" w:hAnsi="David"/>
          <w:rtl/>
        </w:rPr>
        <w:t xml:space="preserve">הצדדים. </w:t>
      </w:r>
    </w:p>
    <w:p w:rsidR="00873F12" w:rsidRDefault="00873F12" w:rsidP="00873F12">
      <w:pPr>
        <w:spacing w:line="360" w:lineRule="auto"/>
        <w:ind w:left="720" w:hanging="720"/>
        <w:jc w:val="both"/>
        <w:rPr>
          <w:rFonts w:ascii="David" w:hAnsi="David"/>
          <w:rtl/>
        </w:rPr>
      </w:pPr>
    </w:p>
    <w:p w:rsidR="00873F12" w:rsidRDefault="00873F12" w:rsidP="00873F12">
      <w:pPr>
        <w:spacing w:line="360" w:lineRule="auto"/>
        <w:ind w:left="720" w:hanging="720"/>
        <w:jc w:val="both"/>
        <w:rPr>
          <w:rFonts w:ascii="David" w:hAnsi="David"/>
          <w:rtl/>
        </w:rPr>
      </w:pPr>
      <w:r>
        <w:rPr>
          <w:rFonts w:ascii="David" w:hAnsi="David"/>
          <w:rtl/>
        </w:rPr>
        <w:t>2.</w:t>
      </w:r>
      <w:r>
        <w:rPr>
          <w:rFonts w:ascii="David" w:hAnsi="David"/>
          <w:rtl/>
        </w:rPr>
        <w:tab/>
      </w:r>
      <w:r w:rsidR="00583996">
        <w:rPr>
          <w:rFonts w:ascii="David" w:hAnsi="David"/>
          <w:rtl/>
        </w:rPr>
        <w:t>בית המשפט</w:t>
      </w:r>
      <w:r>
        <w:rPr>
          <w:rFonts w:ascii="David" w:hAnsi="David"/>
          <w:rtl/>
        </w:rPr>
        <w:t xml:space="preserve"> קמא מינה מומחים, וחוות דעת מטעמם הוגשו.</w:t>
      </w:r>
    </w:p>
    <w:p w:rsidR="00873F12" w:rsidRDefault="00873F12" w:rsidP="00873F12">
      <w:pPr>
        <w:spacing w:line="360" w:lineRule="auto"/>
        <w:ind w:left="720" w:hanging="720"/>
        <w:jc w:val="both"/>
        <w:rPr>
          <w:rFonts w:ascii="David" w:hAnsi="David"/>
          <w:rtl/>
        </w:rPr>
      </w:pPr>
    </w:p>
    <w:p w:rsidR="00873F12" w:rsidRDefault="00873F12" w:rsidP="00873F12">
      <w:pPr>
        <w:spacing w:line="360" w:lineRule="auto"/>
        <w:ind w:left="720" w:hanging="720"/>
        <w:jc w:val="both"/>
        <w:rPr>
          <w:rFonts w:ascii="David" w:hAnsi="David"/>
          <w:rtl/>
        </w:rPr>
      </w:pPr>
      <w:r>
        <w:rPr>
          <w:rFonts w:ascii="David" w:hAnsi="David"/>
          <w:rtl/>
        </w:rPr>
        <w:t>3.</w:t>
      </w:r>
      <w:r>
        <w:rPr>
          <w:rFonts w:ascii="David" w:hAnsi="David"/>
          <w:rtl/>
        </w:rPr>
        <w:tab/>
        <w:t xml:space="preserve">בדיון ביום 7.9.23 ביקש המשיב כי יינתן פס"ד לפירוק שיתוף נוכח הסכמתו לפירוק. </w:t>
      </w:r>
    </w:p>
    <w:p w:rsidR="00873F12" w:rsidRDefault="00873F12" w:rsidP="00873F12">
      <w:pPr>
        <w:spacing w:line="360" w:lineRule="auto"/>
        <w:ind w:left="720" w:hanging="720"/>
        <w:jc w:val="both"/>
        <w:rPr>
          <w:rFonts w:ascii="David" w:hAnsi="David"/>
          <w:rtl/>
        </w:rPr>
      </w:pPr>
    </w:p>
    <w:p w:rsidR="00873F12" w:rsidRDefault="00873F12" w:rsidP="00873F12">
      <w:pPr>
        <w:spacing w:line="360" w:lineRule="auto"/>
        <w:jc w:val="both"/>
        <w:rPr>
          <w:rFonts w:ascii="David" w:hAnsi="David"/>
          <w:rtl/>
        </w:rPr>
      </w:pPr>
      <w:r>
        <w:rPr>
          <w:rFonts w:ascii="David" w:hAnsi="David"/>
          <w:rtl/>
        </w:rPr>
        <w:t>4.</w:t>
      </w:r>
      <w:r>
        <w:rPr>
          <w:rFonts w:ascii="David" w:hAnsi="David"/>
          <w:rtl/>
        </w:rPr>
        <w:tab/>
        <w:t>בתגובתה לבקשה טענה המערערת כי מתנגדת למתן צו לפירוק שיתוף ובכוונתה להגיש בקשה לתיקון כתב התביעה ולתבוע כי חלקו של המשיב בנחלה יוגבל לסך השקעתו בסכום של</w:t>
      </w:r>
      <w:r>
        <w:rPr>
          <w:rFonts w:ascii="David" w:hAnsi="David" w:hint="cs"/>
          <w:rtl/>
        </w:rPr>
        <w:t xml:space="preserve"> </w:t>
      </w:r>
      <w:r>
        <w:rPr>
          <w:rFonts w:ascii="David" w:hAnsi="David"/>
          <w:rtl/>
        </w:rPr>
        <w:t>כ</w:t>
      </w:r>
      <w:r>
        <w:rPr>
          <w:rFonts w:ascii="David" w:hAnsi="David" w:hint="cs"/>
          <w:rtl/>
        </w:rPr>
        <w:t>-</w:t>
      </w:r>
      <w:r>
        <w:rPr>
          <w:rFonts w:ascii="David" w:hAnsi="David"/>
          <w:rtl/>
        </w:rPr>
        <w:t>200,000 ₪ ולא מעבר לכך, וכי רק לאחר הכרעה בסוגיית הנכסים והיקפם ניתן יהיה</w:t>
      </w:r>
      <w:r>
        <w:rPr>
          <w:rFonts w:ascii="David" w:hAnsi="David" w:hint="cs"/>
          <w:rtl/>
        </w:rPr>
        <w:t xml:space="preserve"> </w:t>
      </w:r>
      <w:r>
        <w:rPr>
          <w:rFonts w:ascii="David" w:hAnsi="David"/>
          <w:rtl/>
        </w:rPr>
        <w:t>להתקרב לשלב</w:t>
      </w:r>
    </w:p>
    <w:p w:rsidR="00873F12" w:rsidRDefault="00873F12" w:rsidP="00873F12">
      <w:pPr>
        <w:spacing w:line="360" w:lineRule="auto"/>
        <w:jc w:val="both"/>
        <w:rPr>
          <w:rFonts w:ascii="David" w:hAnsi="David"/>
          <w:rtl/>
        </w:rPr>
      </w:pPr>
      <w:r>
        <w:rPr>
          <w:rFonts w:ascii="David" w:hAnsi="David"/>
          <w:rtl/>
        </w:rPr>
        <w:t xml:space="preserve"> הפירוק. </w:t>
      </w:r>
    </w:p>
    <w:p w:rsidR="00873F12" w:rsidRDefault="00873F12" w:rsidP="00873F12">
      <w:pPr>
        <w:spacing w:line="360" w:lineRule="auto"/>
        <w:jc w:val="both"/>
        <w:rPr>
          <w:rFonts w:ascii="David" w:hAnsi="David"/>
          <w:rtl/>
        </w:rPr>
      </w:pPr>
    </w:p>
    <w:p w:rsidR="00DC16AB" w:rsidRDefault="00DC16AB" w:rsidP="00873F12">
      <w:pPr>
        <w:spacing w:line="360" w:lineRule="auto"/>
        <w:jc w:val="both"/>
        <w:rPr>
          <w:rFonts w:ascii="David" w:hAnsi="David"/>
          <w:rtl/>
        </w:rPr>
      </w:pPr>
    </w:p>
    <w:p w:rsidR="00873F12" w:rsidRDefault="00873F12" w:rsidP="00642177">
      <w:pPr>
        <w:spacing w:line="360" w:lineRule="auto"/>
        <w:jc w:val="both"/>
        <w:rPr>
          <w:rFonts w:ascii="David" w:hAnsi="David"/>
          <w:rtl/>
        </w:rPr>
      </w:pPr>
      <w:r>
        <w:rPr>
          <w:rFonts w:ascii="David" w:hAnsi="David"/>
          <w:rtl/>
        </w:rPr>
        <w:t>5.</w:t>
      </w:r>
      <w:r>
        <w:rPr>
          <w:rFonts w:ascii="David" w:hAnsi="David"/>
          <w:rtl/>
        </w:rPr>
        <w:tab/>
      </w:r>
      <w:r w:rsidR="00583996">
        <w:rPr>
          <w:rFonts w:ascii="David" w:hAnsi="David"/>
          <w:rtl/>
        </w:rPr>
        <w:t>בית המשפט</w:t>
      </w:r>
      <w:r>
        <w:rPr>
          <w:rFonts w:ascii="David" w:hAnsi="David"/>
          <w:rtl/>
        </w:rPr>
        <w:t xml:space="preserve"> קמא קבע כי המערערת לא העלתה נימוקים ע</w:t>
      </w:r>
      <w:r w:rsidR="00DC16AB">
        <w:rPr>
          <w:rFonts w:ascii="David" w:hAnsi="David"/>
          <w:rtl/>
        </w:rPr>
        <w:t>נייניים להתנגדות למתן צו פירוק;</w:t>
      </w:r>
      <w:r w:rsidR="00DC16AB">
        <w:rPr>
          <w:rFonts w:ascii="David" w:hAnsi="David" w:hint="cs"/>
          <w:rtl/>
        </w:rPr>
        <w:t xml:space="preserve"> </w:t>
      </w:r>
      <w:r>
        <w:rPr>
          <w:rFonts w:ascii="David" w:hAnsi="David"/>
          <w:rtl/>
        </w:rPr>
        <w:t>באפשרות המערערת לרכוש את חלקו של המשיב בנחלה בכפוף להתמחרות, לחילופין באפשרותה להסכים לצו פירוק ובמקביל לעתור לקבלת זכות ראשונ</w:t>
      </w:r>
      <w:r w:rsidR="00DC16AB">
        <w:rPr>
          <w:rFonts w:ascii="David" w:hAnsi="David"/>
          <w:rtl/>
        </w:rPr>
        <w:t>ים לרכישת החלקה או קיזוז סכומים</w:t>
      </w:r>
      <w:r w:rsidR="00DC16AB">
        <w:rPr>
          <w:rFonts w:ascii="David" w:hAnsi="David" w:hint="cs"/>
          <w:rtl/>
        </w:rPr>
        <w:t xml:space="preserve"> ב</w:t>
      </w:r>
      <w:r>
        <w:rPr>
          <w:rFonts w:ascii="David" w:hAnsi="David"/>
          <w:rtl/>
        </w:rPr>
        <w:t xml:space="preserve">התאם לחוו"ד אקטוארית, אולם אין בכך כדי לאיין את עצם מתן צו הפירוק. </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עוד צוין כי לא ניתן להתעלם מאמירות המערערת במסגרת</w:t>
      </w:r>
      <w:r w:rsidR="00DC16AB">
        <w:rPr>
          <w:rFonts w:ascii="David" w:hAnsi="David"/>
          <w:rtl/>
        </w:rPr>
        <w:t xml:space="preserve"> כתב התביעה ביחס לחלוקת הזכויות</w:t>
      </w:r>
      <w:r w:rsidR="00DC16AB">
        <w:rPr>
          <w:rFonts w:ascii="David" w:hAnsi="David" w:hint="cs"/>
          <w:rtl/>
        </w:rPr>
        <w:t xml:space="preserve"> </w:t>
      </w:r>
      <w:r>
        <w:rPr>
          <w:rFonts w:ascii="David" w:hAnsi="David"/>
          <w:rtl/>
        </w:rPr>
        <w:t xml:space="preserve">ועל כן ספק אם יש נימוקים שיצדיקו בשלב זה תיקון כתב התביעה. </w:t>
      </w:r>
    </w:p>
    <w:p w:rsidR="00DC16AB" w:rsidRDefault="00DC16AB" w:rsidP="00DC16AB">
      <w:pPr>
        <w:spacing w:line="360" w:lineRule="auto"/>
        <w:jc w:val="both"/>
        <w:rPr>
          <w:rFonts w:ascii="David" w:hAnsi="David"/>
          <w:rtl/>
        </w:rPr>
      </w:pPr>
    </w:p>
    <w:p w:rsidR="00DC16AB" w:rsidRDefault="00873F12" w:rsidP="00DC16AB">
      <w:pPr>
        <w:spacing w:line="360" w:lineRule="auto"/>
        <w:jc w:val="both"/>
        <w:rPr>
          <w:rFonts w:ascii="David" w:hAnsi="David"/>
          <w:rtl/>
        </w:rPr>
      </w:pPr>
      <w:r>
        <w:rPr>
          <w:rFonts w:ascii="David" w:hAnsi="David"/>
          <w:rtl/>
        </w:rPr>
        <w:t>6.</w:t>
      </w:r>
      <w:r>
        <w:rPr>
          <w:rFonts w:ascii="David" w:hAnsi="David"/>
          <w:rtl/>
        </w:rPr>
        <w:tab/>
        <w:t xml:space="preserve">ביום 11.12.23 ניתן צו לפירוק שיתוף, ניתנה למערערת זכות ראשונים לרכוש את החלקה, </w:t>
      </w:r>
    </w:p>
    <w:p w:rsidR="00873F12" w:rsidRDefault="00873F12" w:rsidP="00DC16AB">
      <w:pPr>
        <w:spacing w:line="360" w:lineRule="auto"/>
        <w:jc w:val="both"/>
        <w:rPr>
          <w:rFonts w:ascii="David" w:hAnsi="David"/>
          <w:rtl/>
        </w:rPr>
      </w:pPr>
      <w:r>
        <w:rPr>
          <w:rFonts w:ascii="David" w:hAnsi="David"/>
          <w:rtl/>
        </w:rPr>
        <w:t>ונקבע כי הליך המכירה יצא לפועל רק לאחר קבלת חוו</w:t>
      </w:r>
      <w:r w:rsidR="00DC16AB">
        <w:rPr>
          <w:rFonts w:ascii="David" w:hAnsi="David"/>
          <w:rtl/>
        </w:rPr>
        <w:t>"ד אקטוארית ועריכת התחשבנות בין</w:t>
      </w:r>
      <w:r w:rsidR="00DC16AB">
        <w:rPr>
          <w:rFonts w:ascii="David" w:hAnsi="David" w:hint="cs"/>
          <w:rtl/>
        </w:rPr>
        <w:t xml:space="preserve"> </w:t>
      </w:r>
      <w:r>
        <w:rPr>
          <w:rFonts w:ascii="David" w:hAnsi="David"/>
          <w:rtl/>
        </w:rPr>
        <w:t xml:space="preserve">הצדדים, וזאת לאור טענות המערערת ביחס לפערי השתכרות. </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7.</w:t>
      </w:r>
      <w:r>
        <w:rPr>
          <w:rFonts w:ascii="David" w:hAnsi="David"/>
          <w:rtl/>
        </w:rPr>
        <w:tab/>
        <w:t xml:space="preserve">ביום 12.12 דחה </w:t>
      </w:r>
      <w:r w:rsidR="00583996">
        <w:rPr>
          <w:rFonts w:ascii="David" w:hAnsi="David"/>
          <w:rtl/>
        </w:rPr>
        <w:t>בית המשפט</w:t>
      </w:r>
      <w:r>
        <w:rPr>
          <w:rFonts w:ascii="David" w:hAnsi="David"/>
          <w:rtl/>
        </w:rPr>
        <w:t xml:space="preserve"> קמא את בקשת המערערת לתיקון כתב התביעה ונקבע כי אין מקום להתיר למערערת לחזור בה מהצהרותיה. כמו כן, באפשרות המערערת להגיש למומחים שאלות הבהרה ובהמשך לעתור לזימון חקירתם. </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b/>
          <w:bCs/>
          <w:rtl/>
        </w:rPr>
      </w:pPr>
      <w:r>
        <w:rPr>
          <w:rFonts w:ascii="David" w:hAnsi="David"/>
          <w:b/>
          <w:bCs/>
          <w:rtl/>
        </w:rPr>
        <w:t xml:space="preserve">טענות המערערת – </w:t>
      </w:r>
    </w:p>
    <w:p w:rsidR="00873F12" w:rsidRDefault="00873F12" w:rsidP="00DC16AB">
      <w:pPr>
        <w:spacing w:line="360" w:lineRule="auto"/>
        <w:jc w:val="both"/>
        <w:rPr>
          <w:rFonts w:ascii="David" w:hAnsi="David"/>
          <w:rtl/>
        </w:rPr>
      </w:pPr>
      <w:r>
        <w:rPr>
          <w:rFonts w:ascii="David" w:hAnsi="David"/>
          <w:rtl/>
        </w:rPr>
        <w:t>8.</w:t>
      </w:r>
      <w:r>
        <w:rPr>
          <w:rFonts w:ascii="David" w:hAnsi="David"/>
          <w:rtl/>
        </w:rPr>
        <w:tab/>
        <w:t xml:space="preserve">המשיב מעולם לא הכחיש טענת המערערת כי קיבלה את הנחלה בירושה מסבה המנוח ומתנה מסבתה. הצדדים נשאו בעלות הסדרת הנחלה על שמם בהשקעה משותפת ע"ס כ 405,000 ₪. </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9.</w:t>
      </w:r>
      <w:r>
        <w:rPr>
          <w:rFonts w:ascii="David" w:hAnsi="David"/>
          <w:rtl/>
        </w:rPr>
        <w:tab/>
        <w:t xml:space="preserve">הנחלה אינה ברת איזון ועל כן שגה </w:t>
      </w:r>
      <w:r w:rsidR="00583996">
        <w:rPr>
          <w:rFonts w:ascii="David" w:hAnsi="David"/>
          <w:rtl/>
        </w:rPr>
        <w:t>בית המשפט</w:t>
      </w:r>
      <w:r>
        <w:rPr>
          <w:rFonts w:ascii="David" w:hAnsi="David"/>
          <w:rtl/>
        </w:rPr>
        <w:t xml:space="preserve"> קמא משנתן צו לפירוק שיתוף לנחלה בכלל ובשיעור של מחצה על מחצה בפרט. </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10.</w:t>
      </w:r>
      <w:r>
        <w:rPr>
          <w:rFonts w:ascii="David" w:hAnsi="David"/>
          <w:rtl/>
        </w:rPr>
        <w:tab/>
      </w:r>
      <w:r w:rsidR="00583996">
        <w:rPr>
          <w:rFonts w:ascii="David" w:hAnsi="David"/>
          <w:rtl/>
        </w:rPr>
        <w:t>בית המשפט</w:t>
      </w:r>
      <w:r>
        <w:rPr>
          <w:rFonts w:ascii="David" w:hAnsi="David"/>
          <w:rtl/>
        </w:rPr>
        <w:t xml:space="preserve"> קמא לא נימק בהחלטתו מה המניעה לתיקון כתב התביעה בשלב מוקדם של ההליכים, לאחר שהתקיים דיון קדם אחד, לפני שהוגשו תצהירי עדות ראשית ונקבע מועד הוכחות, כאשר הטענה כי תוגש בקשה לתיקון כתב התביעה עלתה עוד בטרם התקיים הדיון הראשון. </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11.</w:t>
      </w:r>
      <w:r>
        <w:rPr>
          <w:rFonts w:ascii="David" w:hAnsi="David"/>
          <w:rtl/>
        </w:rPr>
        <w:tab/>
        <w:t xml:space="preserve">תיקון כתב התביעה המבוקש מקורו בטעות סופר של ב"כ המערערת, אשר לא הוסיף בכתב התביעה לאחר המילים "מחצה על מחצה" שהכוונה מתוך הסכום ששילמו הצדדים במשותף לרישום זכויותיהם בנחלה. </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lastRenderedPageBreak/>
        <w:t>12.</w:t>
      </w:r>
      <w:r>
        <w:rPr>
          <w:rFonts w:ascii="David" w:hAnsi="David"/>
          <w:rtl/>
        </w:rPr>
        <w:tab/>
        <w:t>עוד נטען כי העברת הזכויות בוצעה על בסיס מצג שווא או מרמה ובסמוך לקרע בין הצדדים.</w:t>
      </w:r>
    </w:p>
    <w:p w:rsidR="00642177" w:rsidRDefault="00642177"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כאן המקום לציין כי הגם שמדובר בהחלטות אשר דוחות בקשת תיקון כתב תביעה, בסופו של יום החלטות אלו מביאות להכרעה בהליך פירוק השיתוף ומכאן הדיון במסגרת מותב תלתא ובעמ"ש. כעת נעבור לגוף הדברים.</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b/>
          <w:bCs/>
          <w:rtl/>
        </w:rPr>
      </w:pPr>
      <w:r>
        <w:rPr>
          <w:rFonts w:ascii="David" w:hAnsi="David"/>
          <w:b/>
          <w:bCs/>
          <w:rtl/>
        </w:rPr>
        <w:t xml:space="preserve">הכרעה – </w:t>
      </w:r>
    </w:p>
    <w:p w:rsidR="00873F12" w:rsidRDefault="00873F12" w:rsidP="00DC16AB">
      <w:pPr>
        <w:spacing w:line="360" w:lineRule="auto"/>
        <w:jc w:val="both"/>
        <w:rPr>
          <w:rFonts w:ascii="David" w:hAnsi="David"/>
          <w:rtl/>
        </w:rPr>
      </w:pPr>
      <w:r>
        <w:rPr>
          <w:rFonts w:ascii="David" w:hAnsi="David"/>
          <w:rtl/>
        </w:rPr>
        <w:t>13.</w:t>
      </w:r>
      <w:r>
        <w:rPr>
          <w:rFonts w:ascii="David" w:hAnsi="David"/>
          <w:rtl/>
        </w:rPr>
        <w:tab/>
        <w:t>בערעור בפנינו הבהרנו כי שאלת מקור הזכויות אינה מטה הכף; אין חולק כי בני זוג יכולים להעביר נכס אשר במקורו הגיע ממקור 'חיצוני', שאינו בר איזון, לתוך מסת הנכסים ברי האיזון. בכך הופך נכס שאינו בר איזון בשל הדרך בה התקבלו הזכויות, לנכס שהנו בר איזון.</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14.</w:t>
      </w:r>
      <w:r>
        <w:rPr>
          <w:rFonts w:ascii="David" w:hAnsi="David"/>
          <w:rtl/>
        </w:rPr>
        <w:tab/>
        <w:t xml:space="preserve">במקרה בפנינו, אין חולק כי מקור הזכויות בנכס נשוא המחלוקת הנו מסבה וסבתה של המערערת; הסבתא, גם אליבא המערערת עצמה, בחרה לאפשר למערערת </w:t>
      </w:r>
      <w:r>
        <w:rPr>
          <w:rFonts w:ascii="David" w:hAnsi="David"/>
          <w:b/>
          <w:bCs/>
          <w:rtl/>
        </w:rPr>
        <w:t xml:space="preserve">ולמשיב </w:t>
      </w:r>
      <w:r>
        <w:rPr>
          <w:rFonts w:ascii="David" w:hAnsi="David"/>
          <w:rtl/>
        </w:rPr>
        <w:t>לקבל זכויות בנחלה, לאחר פיצול הנחלה, תוך שכל שנדרש מבני הזוג שניהם (המערערת והמשיב), לשאת בעלות הסדרת הרישום והפיצול (ראה סעיף 14 לכתב הערעור!!).</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15.</w:t>
      </w:r>
      <w:r>
        <w:rPr>
          <w:rFonts w:ascii="David" w:hAnsi="David"/>
          <w:rtl/>
        </w:rPr>
        <w:tab/>
        <w:t>למעשה המערערת מאשרת בפה מלא, גם מסגרת הערעור, כי המתת, של הזכויות בנחלה, ניתנה אמנם מכוח קשר הדם של המערערת, אך ניתנה לשני בני הזוג גם יחד.</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16.</w:t>
      </w:r>
      <w:r>
        <w:rPr>
          <w:rFonts w:ascii="David" w:hAnsi="David"/>
          <w:rtl/>
        </w:rPr>
        <w:tab/>
        <w:t>הטענה כיום כי מדובר בנכס שהזכויות בו הועברו בירושה למערערת בלבד, אינה עולה בקנה אחד עם הצהרת המערערת עצמה כאמור לעיל (וראה למשל סעיף 15 לכתב הערעור).</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17.</w:t>
      </w:r>
      <w:r>
        <w:rPr>
          <w:rFonts w:ascii="David" w:hAnsi="David"/>
          <w:rtl/>
        </w:rPr>
        <w:tab/>
        <w:t xml:space="preserve">זאת ועוד- המערערת מאשרת, בתצהירי התביעה שהגישה, כי מדובר בנכס אשר גם אם מקורו חיצוני- הפך לנכס בר איזון ומשותף; ראה לעניין זה סעיף 17 לתביעה הרכושית (המגדיר הן את דרך העברת הזכויות- </w:t>
      </w:r>
      <w:r>
        <w:rPr>
          <w:rFonts w:ascii="David" w:hAnsi="David"/>
          <w:b/>
          <w:bCs/>
          <w:u w:val="single"/>
          <w:rtl/>
        </w:rPr>
        <w:t>במתנה, והן את מקבלי המתנה- שני הצדדים</w:t>
      </w:r>
      <w:r>
        <w:rPr>
          <w:rFonts w:ascii="David" w:hAnsi="David"/>
          <w:rtl/>
        </w:rPr>
        <w:t>); ראה סעיף 19 לתביעה הרכושית- פירוק שיתוף ומכלל זאת מסיק אתה על שיתוף (ובשיעור של מחצה על מחצה, כנטען) וכן סעיף העתירות.</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18.</w:t>
      </w:r>
      <w:r>
        <w:rPr>
          <w:rFonts w:ascii="David" w:hAnsi="David"/>
          <w:rtl/>
        </w:rPr>
        <w:tab/>
        <w:t>לא זו אף זו- עצם העתירה לבצע פירוק שיתוף בנכס, להבדיל מאיזון השקעה או עתירה כספית בגין השקעה בלבד, מלמדת כי גם המערערת עצמה (התובעת קמא), ראתה את זכויות הצדדים כמשותפות; ברי כי בהיעדר שיתוף בזכויות, אין מקום לפירוק שיתוף (עתירת המערערת עצמה), ומכאן בעצם הגשת התביעה והעתירות לסעדים במסגרתה, יש ללמד על קיומו של שיתוף.</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lastRenderedPageBreak/>
        <w:t>19.</w:t>
      </w:r>
      <w:r>
        <w:rPr>
          <w:rFonts w:ascii="David" w:hAnsi="David"/>
          <w:rtl/>
        </w:rPr>
        <w:tab/>
        <w:t>ודוק- עצם העובדה כי בכתב התביעה קמא  עותרת המערערת  ל'זכות קדימה' ברכישה, (סעיף 19), הוא הנותן כי המערערת אינה עוסקת בפיצוי כספי או בחלוקת השקעה (שאחרת אין משמעות לזכות הקדימה); העתירה אפוא היא לפירוק שיתוף.</w:t>
      </w:r>
    </w:p>
    <w:p w:rsidR="00642177" w:rsidRDefault="00642177"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20.</w:t>
      </w:r>
      <w:r>
        <w:rPr>
          <w:rFonts w:ascii="David" w:hAnsi="David"/>
          <w:rtl/>
        </w:rPr>
        <w:tab/>
        <w:t>ונזכיר- אין מדובר בהצהרות גרידא; מדובר בטענות עובדתיות המגובות בתצהירי צדדים; משכך, בדין דחה בית המשפט קמא האפשרות לחזור מהמוצהר ע"י התובעת, חזור והצהר, ובדין מצא בית המשפט קמא כי הניסיון לטעון ל'טעות סופר' דחוק, בלשון המעטה.</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21.</w:t>
      </w:r>
      <w:r>
        <w:rPr>
          <w:rFonts w:ascii="David" w:hAnsi="David"/>
          <w:rtl/>
        </w:rPr>
        <w:tab/>
        <w:t>שקלנו נושא טענת המרמה או חוסר תום הלב, כפי שהועלה בסעיף 20 לכתב הערעור, ואילך; נזכיר כי ככלל אין מקום לגלגל בתביעה פירוק שיתוף הגלגל לאחור, ולבחון השקעת מי מהצדדים (הלכת ע"א 66/88 דקר נ' דקר); ראה גם תמ"ש (י-ם) 12316-04-12 ותמ"ש (ב"ש) 15300/09 המבחינים בין אפשרות לאיזון לא שוויוני בנכסים כלכליים ובין זכויות במקרקעין או זכויות שביחס אליהן נוהג רישום.</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22.</w:t>
      </w:r>
      <w:r>
        <w:rPr>
          <w:rFonts w:ascii="David" w:hAnsi="David"/>
          <w:rtl/>
        </w:rPr>
        <w:tab/>
        <w:t>אמנם, לכלל המבואר לעיל, קיימים חריגים (השווה למשל- בע"מ 2045/15, ובמיוחד בנושא תום הלב- פרשת ת"א (ת"א) 59/93 גזית נ' בלונדר. עם זאת, לאחר שבחנו הדברים הגענו למסקנה כי גם חריגים אלו לא ניתן להחיל במקרה בפנינו.</w:t>
      </w:r>
    </w:p>
    <w:p w:rsidR="00583996" w:rsidRDefault="00583996"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23.</w:t>
      </w:r>
      <w:r>
        <w:rPr>
          <w:rFonts w:ascii="David" w:hAnsi="David"/>
          <w:rtl/>
        </w:rPr>
        <w:tab/>
        <w:t>ראשית, כאמור, המערערת עצמה הצהירה בכתבי טענותיה המגובים בתצהיר כי זכויות הצדדים בנחלה משותפות, לשניהם, בחלקים שווים.</w:t>
      </w:r>
    </w:p>
    <w:p w:rsidR="00DC16AB" w:rsidRDefault="00DC16AB"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24.</w:t>
      </w:r>
      <w:r>
        <w:rPr>
          <w:rFonts w:ascii="David" w:hAnsi="David"/>
          <w:rtl/>
        </w:rPr>
        <w:tab/>
        <w:t>שנית, כפי שצוין ע"י המערערת עצמה, גם המערערת עצמה קיבלה הזכויות במתנה; השקעתה אפוא אינה עודפת אלא לכל היותר מתבססת על קשר הדם.</w:t>
      </w:r>
    </w:p>
    <w:p w:rsidR="00985A9F" w:rsidRDefault="00985A9F"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25.</w:t>
      </w:r>
      <w:r>
        <w:rPr>
          <w:rFonts w:ascii="David" w:hAnsi="David"/>
          <w:rtl/>
        </w:rPr>
        <w:tab/>
        <w:t xml:space="preserve">שלישית- הגם שנטען בכתב ההגנה שהגיש המשיב בבית המשפט קמא  - למשבר בשנת 2020 (המועד בו נחתם </w:t>
      </w:r>
      <w:r>
        <w:rPr>
          <w:rFonts w:ascii="David" w:hAnsi="David"/>
          <w:b/>
          <w:bCs/>
          <w:rtl/>
        </w:rPr>
        <w:t>הסכם החכירה ע"ש שני הצדדים</w:t>
      </w:r>
      <w:r>
        <w:rPr>
          <w:rFonts w:ascii="David" w:hAnsi="David"/>
          <w:rtl/>
        </w:rPr>
        <w:t>), הרי בצד זאת צוין במפורש כי חרף המשבר פעלו הצדדים לשיקום היחסים (סעיף 3 לכתב ההגנה), עד אשר עלו היחסים מחדש על שרטון בשנת 2022.</w:t>
      </w:r>
    </w:p>
    <w:p w:rsidR="00985A9F" w:rsidRDefault="00985A9F"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26.</w:t>
      </w:r>
      <w:r>
        <w:rPr>
          <w:rFonts w:ascii="David" w:hAnsi="David"/>
          <w:rtl/>
        </w:rPr>
        <w:tab/>
        <w:t>רביעית- הסכם חכירה שנחתם ע"ש שני הצדדים אינו תחילת רישום השיתוף בזכויות אלא סיומו; למה הכוונה- עוד עובר לחתימת הסכם החכירה נדרשה הסכמת האגודה, קליטת הצדדים באגודה, סילוק תשלומים משותף לשם הפיצול; על פי הקבלות שצירפה המערערת עצמה – מדובר בתשלומים ש</w:t>
      </w:r>
      <w:r w:rsidR="00C326EF">
        <w:rPr>
          <w:rFonts w:ascii="David" w:hAnsi="David"/>
          <w:rtl/>
        </w:rPr>
        <w:t>שילמו הצדדים יחד בשנת 2017</w:t>
      </w:r>
      <w:r>
        <w:rPr>
          <w:rFonts w:ascii="David" w:hAnsi="David"/>
          <w:rtl/>
        </w:rPr>
        <w:t>, זמן רב עובר גם לטענות בדבר משבר שפרץ ביחסי הצדדים ועוד עובר לחתימת הסכם החכירה המשותף. די בכך להשמיט טענת המרמה ותום הלב.</w:t>
      </w:r>
    </w:p>
    <w:p w:rsidR="00985A9F" w:rsidRDefault="00985A9F" w:rsidP="00DC16AB">
      <w:pPr>
        <w:spacing w:line="360" w:lineRule="auto"/>
        <w:jc w:val="both"/>
        <w:rPr>
          <w:rFonts w:ascii="David" w:hAnsi="David"/>
          <w:rtl/>
        </w:rPr>
      </w:pPr>
    </w:p>
    <w:p w:rsidR="00873F12" w:rsidRDefault="00873F12" w:rsidP="004B1E08">
      <w:pPr>
        <w:spacing w:line="360" w:lineRule="auto"/>
        <w:jc w:val="both"/>
        <w:rPr>
          <w:rFonts w:ascii="David" w:hAnsi="David"/>
          <w:rtl/>
        </w:rPr>
      </w:pPr>
      <w:r>
        <w:rPr>
          <w:rFonts w:ascii="David" w:hAnsi="David"/>
          <w:rtl/>
        </w:rPr>
        <w:lastRenderedPageBreak/>
        <w:t>27.</w:t>
      </w:r>
      <w:r>
        <w:rPr>
          <w:rFonts w:ascii="David" w:hAnsi="David"/>
          <w:rtl/>
        </w:rPr>
        <w:tab/>
        <w:t>ונזכיר- גם אם היה מדובר בנכס חיצוני, הרי משאין חולק כי הצדדים ראוהו כמשותף (הצהרות בכתבי טענות</w:t>
      </w:r>
      <w:r w:rsidR="00C326EF">
        <w:rPr>
          <w:rFonts w:ascii="David" w:hAnsi="David" w:hint="cs"/>
          <w:rtl/>
        </w:rPr>
        <w:t xml:space="preserve">, ר' </w:t>
      </w:r>
      <w:r w:rsidR="00642177">
        <w:rPr>
          <w:rFonts w:ascii="David" w:hAnsi="David" w:hint="cs"/>
          <w:rtl/>
        </w:rPr>
        <w:t>גם</w:t>
      </w:r>
      <w:r w:rsidR="00C326EF">
        <w:rPr>
          <w:rFonts w:ascii="David" w:hAnsi="David" w:hint="cs"/>
          <w:rtl/>
        </w:rPr>
        <w:t xml:space="preserve"> דברי המערערת למומחה: "לטענת גב' </w:t>
      </w:r>
      <w:r w:rsidR="004B1E08">
        <w:rPr>
          <w:rFonts w:ascii="David" w:hAnsi="David"/>
        </w:rPr>
        <w:t>xxxx</w:t>
      </w:r>
      <w:r w:rsidR="004B1E08">
        <w:rPr>
          <w:rFonts w:ascii="David" w:hAnsi="David" w:hint="cs"/>
          <w:rtl/>
        </w:rPr>
        <w:t xml:space="preserve"> </w:t>
      </w:r>
      <w:r w:rsidR="00C326EF">
        <w:rPr>
          <w:rFonts w:ascii="David" w:hAnsi="David" w:hint="cs"/>
          <w:rtl/>
        </w:rPr>
        <w:t xml:space="preserve">הנחלה הוענקה </w:t>
      </w:r>
      <w:r w:rsidR="00C326EF" w:rsidRPr="00C326EF">
        <w:rPr>
          <w:rFonts w:ascii="David" w:hAnsi="David" w:hint="cs"/>
          <w:b/>
          <w:bCs/>
          <w:rtl/>
        </w:rPr>
        <w:t>להם</w:t>
      </w:r>
      <w:r w:rsidR="00C326EF">
        <w:rPr>
          <w:rFonts w:ascii="David" w:hAnsi="David" w:hint="cs"/>
          <w:rtl/>
        </w:rPr>
        <w:t xml:space="preserve"> במתנה מסבתה, מעוניינת לרכוש את חלקו של </w:t>
      </w:r>
      <w:r w:rsidR="004B1E08">
        <w:rPr>
          <w:rFonts w:ascii="David" w:hAnsi="David"/>
        </w:rPr>
        <w:t>xxxx</w:t>
      </w:r>
      <w:r w:rsidR="00C326EF">
        <w:rPr>
          <w:rFonts w:ascii="David" w:hAnsi="David" w:hint="cs"/>
          <w:rtl/>
        </w:rPr>
        <w:t>"</w:t>
      </w:r>
      <w:r>
        <w:rPr>
          <w:rFonts w:ascii="David" w:hAnsi="David"/>
          <w:rtl/>
        </w:rPr>
        <w:t xml:space="preserve">), ולאור בע"מ 1983/23 </w:t>
      </w:r>
      <w:r w:rsidR="00731FC2">
        <w:rPr>
          <w:rFonts w:ascii="David" w:hAnsi="David" w:hint="cs"/>
          <w:rtl/>
        </w:rPr>
        <w:t xml:space="preserve">פלונית נ' פלוני (12.2.2023) </w:t>
      </w:r>
      <w:r>
        <w:rPr>
          <w:rFonts w:ascii="David" w:hAnsi="David"/>
          <w:rtl/>
        </w:rPr>
        <w:t>מהעת האחרונה, הכלל הוא כי מדובר בנכס משותף</w:t>
      </w:r>
      <w:r w:rsidR="00583996">
        <w:rPr>
          <w:rFonts w:ascii="David" w:hAnsi="David" w:hint="cs"/>
          <w:rtl/>
        </w:rPr>
        <w:t>.</w:t>
      </w:r>
    </w:p>
    <w:p w:rsidR="00583996" w:rsidRDefault="00583996" w:rsidP="00583996">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28.</w:t>
      </w:r>
      <w:r>
        <w:rPr>
          <w:rFonts w:ascii="David" w:hAnsi="David"/>
          <w:rtl/>
        </w:rPr>
        <w:tab/>
        <w:t>סופו של יום- המקרה דנן אינו נמנה על המקרים החריגים המצדיקים התערבות; ההצהרות מחייבות את הצדדים ולא ניתן לסטות מהן ועל כן הוראת פירוק השיתוף תעמוד על כנה בתנאים שנקבעו בה (ממילא הוכפפה לגמר התחשבנות).</w:t>
      </w:r>
    </w:p>
    <w:p w:rsidR="00985A9F" w:rsidRDefault="00985A9F" w:rsidP="00DC16AB">
      <w:pPr>
        <w:spacing w:line="360" w:lineRule="auto"/>
        <w:jc w:val="both"/>
        <w:rPr>
          <w:rFonts w:ascii="David" w:hAnsi="David"/>
          <w:rtl/>
        </w:rPr>
      </w:pPr>
    </w:p>
    <w:p w:rsidR="00873F12" w:rsidRDefault="00873F12" w:rsidP="00DC16AB">
      <w:pPr>
        <w:spacing w:line="360" w:lineRule="auto"/>
        <w:jc w:val="both"/>
        <w:rPr>
          <w:rFonts w:ascii="David" w:hAnsi="David"/>
          <w:rtl/>
        </w:rPr>
      </w:pPr>
      <w:r>
        <w:rPr>
          <w:rFonts w:ascii="David" w:hAnsi="David"/>
          <w:rtl/>
        </w:rPr>
        <w:t>29.</w:t>
      </w:r>
      <w:r>
        <w:rPr>
          <w:rFonts w:ascii="David" w:hAnsi="David"/>
          <w:rtl/>
        </w:rPr>
        <w:tab/>
        <w:t>למעשה, ניתן לסכם הדברים כדלקמן:</w:t>
      </w:r>
    </w:p>
    <w:p w:rsidR="00873F12" w:rsidRDefault="00873F12" w:rsidP="00DC16AB">
      <w:pPr>
        <w:spacing w:line="360" w:lineRule="auto"/>
        <w:jc w:val="both"/>
        <w:rPr>
          <w:rFonts w:ascii="David" w:hAnsi="David"/>
          <w:rtl/>
        </w:rPr>
      </w:pPr>
      <w:r>
        <w:rPr>
          <w:rFonts w:ascii="David" w:hAnsi="David"/>
          <w:rtl/>
        </w:rPr>
        <w:t>א.           אין מקום לדחות את הממצאים העובדתיים שנקבעו בפסק הדין;</w:t>
      </w:r>
    </w:p>
    <w:p w:rsidR="00873F12" w:rsidRDefault="00873F12" w:rsidP="00DC16AB">
      <w:pPr>
        <w:spacing w:line="360" w:lineRule="auto"/>
        <w:jc w:val="both"/>
        <w:rPr>
          <w:rFonts w:ascii="David" w:hAnsi="David"/>
          <w:rtl/>
        </w:rPr>
      </w:pPr>
      <w:r>
        <w:rPr>
          <w:rFonts w:ascii="David" w:hAnsi="David"/>
          <w:rtl/>
        </w:rPr>
        <w:t>ב.            הממצאים שנקבעו בפסק הדין תומכים במסקנה המשפטית שנקבעה בו;</w:t>
      </w:r>
    </w:p>
    <w:p w:rsidR="00873F12" w:rsidRDefault="00873F12" w:rsidP="00DC16AB">
      <w:pPr>
        <w:spacing w:line="360" w:lineRule="auto"/>
        <w:jc w:val="both"/>
        <w:rPr>
          <w:rFonts w:ascii="David" w:hAnsi="David"/>
          <w:rtl/>
        </w:rPr>
      </w:pPr>
      <w:r>
        <w:rPr>
          <w:rFonts w:ascii="David" w:hAnsi="David"/>
          <w:rtl/>
        </w:rPr>
        <w:t>ג.            אין לגלות בפסק הדין טעות שבחוק.</w:t>
      </w:r>
    </w:p>
    <w:p w:rsidR="00985A9F" w:rsidRDefault="00985A9F" w:rsidP="00DC16AB">
      <w:pPr>
        <w:spacing w:line="360" w:lineRule="auto"/>
        <w:jc w:val="both"/>
        <w:rPr>
          <w:rFonts w:ascii="David" w:hAnsi="David"/>
          <w:rtl/>
        </w:rPr>
      </w:pPr>
    </w:p>
    <w:p w:rsidR="00873F12" w:rsidRDefault="00850D0E" w:rsidP="00DC16AB">
      <w:pPr>
        <w:spacing w:line="360" w:lineRule="auto"/>
        <w:jc w:val="both"/>
        <w:rPr>
          <w:rFonts w:ascii="David" w:hAnsi="David"/>
          <w:b/>
          <w:bCs/>
          <w:rtl/>
        </w:rPr>
      </w:pPr>
      <w:r>
        <w:rPr>
          <w:rFonts w:ascii="David" w:hAnsi="David"/>
          <w:rtl/>
        </w:rPr>
        <w:t xml:space="preserve">אשר על כן, מכח </w:t>
      </w:r>
      <w:r>
        <w:rPr>
          <w:rFonts w:ascii="David" w:hAnsi="David" w:hint="cs"/>
          <w:rtl/>
        </w:rPr>
        <w:t>תקנה</w:t>
      </w:r>
      <w:r w:rsidR="00873F12">
        <w:rPr>
          <w:rFonts w:ascii="David" w:hAnsi="David"/>
          <w:rtl/>
        </w:rPr>
        <w:t xml:space="preserve"> 148(ב) לתקנות סדר הדין האזרחי תשע"ט - 2018, דין הערעור להידחות</w:t>
      </w:r>
      <w:r w:rsidR="00873F12">
        <w:rPr>
          <w:rFonts w:ascii="David" w:hAnsi="David"/>
          <w:b/>
          <w:bCs/>
          <w:rtl/>
        </w:rPr>
        <w:t>.</w:t>
      </w:r>
    </w:p>
    <w:p w:rsidR="00985A9F" w:rsidRDefault="00985A9F" w:rsidP="00DC16AB">
      <w:pPr>
        <w:spacing w:line="360" w:lineRule="auto"/>
        <w:jc w:val="both"/>
        <w:rPr>
          <w:rFonts w:ascii="David" w:hAnsi="David"/>
          <w:b/>
          <w:bCs/>
          <w:rtl/>
        </w:rPr>
      </w:pPr>
    </w:p>
    <w:p w:rsidR="00873F12" w:rsidRDefault="00873F12" w:rsidP="00DC16AB">
      <w:pPr>
        <w:spacing w:line="360" w:lineRule="auto"/>
        <w:jc w:val="both"/>
        <w:rPr>
          <w:rFonts w:ascii="David" w:hAnsi="David"/>
          <w:rtl/>
        </w:rPr>
      </w:pPr>
      <w:r>
        <w:rPr>
          <w:rFonts w:ascii="David" w:hAnsi="David"/>
          <w:rtl/>
        </w:rPr>
        <w:t>30.</w:t>
      </w:r>
      <w:r>
        <w:rPr>
          <w:rFonts w:ascii="David" w:hAnsi="David"/>
          <w:rtl/>
        </w:rPr>
        <w:tab/>
        <w:t>בנסיבות העניין משאין חולק כי המתת שניתנה למשיב נכבדה, איננו סבורים כי יש מקום לעשות הוצאות</w:t>
      </w:r>
      <w:r w:rsidR="00850D0E">
        <w:rPr>
          <w:rFonts w:ascii="David" w:hAnsi="David" w:hint="cs"/>
          <w:rtl/>
        </w:rPr>
        <w:t>.</w:t>
      </w:r>
    </w:p>
    <w:p w:rsidR="00694556" w:rsidRDefault="00694556">
      <w:pPr>
        <w:spacing w:line="360" w:lineRule="auto"/>
        <w:jc w:val="both"/>
        <w:rPr>
          <w:rFonts w:ascii="Arial" w:hAnsi="Arial"/>
          <w:noProof w:val="0"/>
          <w:rtl/>
        </w:rPr>
      </w:pPr>
    </w:p>
    <w:p w:rsidR="00FD3CFD" w:rsidRDefault="00FD3CFD">
      <w:pPr>
        <w:spacing w:line="360" w:lineRule="auto"/>
        <w:jc w:val="both"/>
        <w:rPr>
          <w:rFonts w:ascii="Arial" w:hAnsi="Arial"/>
          <w:noProof w:val="0"/>
          <w:rtl/>
        </w:rPr>
      </w:pPr>
      <w:r>
        <w:rPr>
          <w:rFonts w:ascii="Arial" w:hAnsi="Arial" w:hint="cs"/>
          <w:noProof w:val="0"/>
          <w:rtl/>
        </w:rPr>
        <w:t>מותר לפרסום בהשמטת שמות הצדדים ופרטים מזהים.</w:t>
      </w:r>
    </w:p>
    <w:p w:rsidR="00FD3CFD" w:rsidRPr="00C770E3" w:rsidRDefault="00FD3CFD">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מאי 2024</w:t>
          </w:r>
        </w:sdtContent>
      </w:sdt>
      <w:r w:rsidR="00005C8B">
        <w:rPr>
          <w:rFonts w:ascii="Arial" w:hAnsi="Arial"/>
          <w:noProof w:val="0"/>
          <w:rtl/>
        </w:rPr>
        <w:t>, בהעדר הצדדים.</w:t>
      </w:r>
    </w:p>
    <w:p w:rsidR="00985A9F" w:rsidRDefault="00985A9F" w:rsidP="00860102">
      <w:pPr>
        <w:spacing w:line="360" w:lineRule="auto"/>
        <w:jc w:val="both"/>
        <w:rPr>
          <w:rFonts w:ascii="Arial" w:hAnsi="Arial"/>
          <w:noProof w:val="0"/>
          <w:rtl/>
        </w:rPr>
      </w:pPr>
    </w:p>
    <w:p w:rsidR="00985A9F" w:rsidRDefault="00985A9F" w:rsidP="004E53DE"/>
    <w:p w:rsidR="00985A9F" w:rsidRDefault="00985A9F" w:rsidP="004E53DE">
      <w:pPr>
        <w:pStyle w:val="David"/>
        <w:rPr>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8"/>
        <w:gridCol w:w="342"/>
        <w:gridCol w:w="2761"/>
        <w:gridCol w:w="485"/>
        <w:gridCol w:w="2350"/>
      </w:tblGrid>
      <w:tr w:rsidR="00985A9F" w:rsidTr="004E53DE">
        <w:tc>
          <w:tcPr>
            <w:tcW w:w="2368" w:type="dxa"/>
            <w:tcBorders>
              <w:top w:val="nil"/>
              <w:left w:val="nil"/>
              <w:bottom w:val="single" w:sz="4" w:space="0" w:color="auto"/>
              <w:right w:val="nil"/>
            </w:tcBorders>
            <w:vAlign w:val="bottom"/>
            <w:hideMark/>
          </w:tcPr>
          <w:p w:rsidR="00985A9F" w:rsidRDefault="00985A9F">
            <w:pPr>
              <w:jc w:val="center"/>
              <w:rPr>
                <w:rFonts w:ascii="Courier New" w:hAnsi="Courier New"/>
                <w:b/>
                <w:bCs/>
                <w:rtl/>
              </w:rPr>
            </w:pPr>
            <w:r>
              <w:drawing>
                <wp:inline distT="0" distB="0" distL="0" distR="0">
                  <wp:extent cx="922655" cy="1065530"/>
                  <wp:effectExtent l="0" t="0" r="0" b="127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2655" cy="1065530"/>
                          </a:xfrm>
                          <a:prstGeom prst="rect">
                            <a:avLst/>
                          </a:prstGeom>
                          <a:noFill/>
                          <a:ln>
                            <a:noFill/>
                          </a:ln>
                        </pic:spPr>
                      </pic:pic>
                    </a:graphicData>
                  </a:graphic>
                </wp:inline>
              </w:drawing>
            </w:r>
          </w:p>
        </w:tc>
        <w:tc>
          <w:tcPr>
            <w:tcW w:w="342" w:type="dxa"/>
            <w:vAlign w:val="bottom"/>
          </w:tcPr>
          <w:p w:rsidR="00985A9F" w:rsidRDefault="00985A9F">
            <w:pPr>
              <w:jc w:val="center"/>
              <w:rPr>
                <w:rFonts w:ascii="Courier New" w:hAnsi="Courier New"/>
                <w:b/>
                <w:bCs/>
                <w:rtl/>
              </w:rPr>
            </w:pPr>
          </w:p>
        </w:tc>
        <w:tc>
          <w:tcPr>
            <w:tcW w:w="2761" w:type="dxa"/>
            <w:tcBorders>
              <w:top w:val="nil"/>
              <w:left w:val="nil"/>
              <w:bottom w:val="single" w:sz="4" w:space="0" w:color="auto"/>
              <w:right w:val="nil"/>
            </w:tcBorders>
            <w:vAlign w:val="bottom"/>
            <w:hideMark/>
          </w:tcPr>
          <w:p w:rsidR="00985A9F" w:rsidRDefault="00985A9F">
            <w:pPr>
              <w:jc w:val="center"/>
              <w:rPr>
                <w:rFonts w:ascii="Courier New" w:hAnsi="Courier New"/>
                <w:b/>
                <w:bCs/>
              </w:rPr>
            </w:pPr>
            <w:r>
              <w:drawing>
                <wp:inline distT="0" distB="0" distL="0" distR="0">
                  <wp:extent cx="612140" cy="715645"/>
                  <wp:effectExtent l="0" t="0" r="0" b="825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 cy="715645"/>
                          </a:xfrm>
                          <a:prstGeom prst="rect">
                            <a:avLst/>
                          </a:prstGeom>
                          <a:noFill/>
                          <a:ln>
                            <a:noFill/>
                          </a:ln>
                        </pic:spPr>
                      </pic:pic>
                    </a:graphicData>
                  </a:graphic>
                </wp:inline>
              </w:drawing>
            </w:r>
          </w:p>
        </w:tc>
        <w:tc>
          <w:tcPr>
            <w:tcW w:w="485" w:type="dxa"/>
            <w:vAlign w:val="bottom"/>
          </w:tcPr>
          <w:p w:rsidR="00985A9F" w:rsidRDefault="00985A9F">
            <w:pPr>
              <w:jc w:val="center"/>
              <w:rPr>
                <w:rFonts w:ascii="Courier New" w:hAnsi="Courier New"/>
                <w:b/>
                <w:bCs/>
              </w:rPr>
            </w:pPr>
          </w:p>
        </w:tc>
        <w:tc>
          <w:tcPr>
            <w:tcW w:w="2350" w:type="dxa"/>
            <w:tcBorders>
              <w:top w:val="nil"/>
              <w:left w:val="nil"/>
              <w:bottom w:val="single" w:sz="4" w:space="0" w:color="auto"/>
              <w:right w:val="nil"/>
            </w:tcBorders>
            <w:vAlign w:val="bottom"/>
            <w:hideMark/>
          </w:tcPr>
          <w:p w:rsidR="00985A9F" w:rsidRDefault="00985A9F">
            <w:pPr>
              <w:jc w:val="center"/>
              <w:rPr>
                <w:rFonts w:ascii="Courier New" w:hAnsi="Courier New"/>
                <w:b/>
                <w:bCs/>
                <w:rtl/>
              </w:rPr>
            </w:pPr>
            <w:r>
              <w:drawing>
                <wp:inline distT="0" distB="0" distL="0" distR="0">
                  <wp:extent cx="898525" cy="70739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8525" cy="707390"/>
                          </a:xfrm>
                          <a:prstGeom prst="rect">
                            <a:avLst/>
                          </a:prstGeom>
                          <a:noFill/>
                          <a:ln>
                            <a:noFill/>
                          </a:ln>
                        </pic:spPr>
                      </pic:pic>
                    </a:graphicData>
                  </a:graphic>
                </wp:inline>
              </w:drawing>
            </w:r>
          </w:p>
        </w:tc>
      </w:tr>
      <w:tr w:rsidR="00985A9F" w:rsidRPr="004E53DE" w:rsidTr="004E53DE">
        <w:tc>
          <w:tcPr>
            <w:tcW w:w="2368" w:type="dxa"/>
            <w:tcBorders>
              <w:top w:val="single" w:sz="4" w:space="0" w:color="auto"/>
              <w:left w:val="nil"/>
              <w:bottom w:val="nil"/>
              <w:right w:val="nil"/>
            </w:tcBorders>
            <w:hideMark/>
          </w:tcPr>
          <w:p w:rsidR="00985A9F" w:rsidRPr="004E53DE" w:rsidRDefault="00985A9F">
            <w:pPr>
              <w:jc w:val="center"/>
              <w:rPr>
                <w:rFonts w:ascii="David" w:hAnsi="David"/>
                <w:b/>
                <w:bCs/>
              </w:rPr>
            </w:pPr>
            <w:r w:rsidRPr="004E53DE">
              <w:rPr>
                <w:rFonts w:ascii="David" w:hAnsi="David"/>
                <w:b/>
                <w:bCs/>
                <w:rtl/>
              </w:rPr>
              <w:t>ס. ג'יוסי, שופט</w:t>
            </w:r>
            <w:r w:rsidRPr="004E53DE">
              <w:rPr>
                <w:rFonts w:ascii="David" w:hAnsi="David"/>
                <w:b/>
                <w:bCs/>
                <w:rtl/>
              </w:rPr>
              <w:br/>
              <w:t>[אב"ד]</w:t>
            </w:r>
          </w:p>
        </w:tc>
        <w:tc>
          <w:tcPr>
            <w:tcW w:w="342" w:type="dxa"/>
          </w:tcPr>
          <w:p w:rsidR="00985A9F" w:rsidRPr="004E53DE" w:rsidRDefault="00985A9F">
            <w:pPr>
              <w:spacing w:line="360" w:lineRule="auto"/>
              <w:rPr>
                <w:rFonts w:ascii="David" w:hAnsi="David"/>
                <w:b/>
                <w:bCs/>
                <w:color w:val="FF0000"/>
                <w:rtl/>
              </w:rPr>
            </w:pPr>
          </w:p>
        </w:tc>
        <w:tc>
          <w:tcPr>
            <w:tcW w:w="2761" w:type="dxa"/>
            <w:tcBorders>
              <w:top w:val="single" w:sz="4" w:space="0" w:color="auto"/>
              <w:left w:val="nil"/>
              <w:bottom w:val="nil"/>
              <w:right w:val="nil"/>
            </w:tcBorders>
            <w:hideMark/>
          </w:tcPr>
          <w:p w:rsidR="00985A9F" w:rsidRPr="004E53DE" w:rsidRDefault="00985A9F">
            <w:pPr>
              <w:spacing w:line="360" w:lineRule="auto"/>
              <w:jc w:val="center"/>
              <w:rPr>
                <w:rFonts w:ascii="David" w:hAnsi="David"/>
                <w:b/>
                <w:bCs/>
              </w:rPr>
            </w:pPr>
            <w:r w:rsidRPr="004E53DE">
              <w:rPr>
                <w:rFonts w:ascii="David" w:hAnsi="David"/>
                <w:b/>
                <w:bCs/>
                <w:rtl/>
              </w:rPr>
              <w:t>ע. אטיאס, שופטת</w:t>
            </w:r>
          </w:p>
        </w:tc>
        <w:tc>
          <w:tcPr>
            <w:tcW w:w="485" w:type="dxa"/>
          </w:tcPr>
          <w:p w:rsidR="00985A9F" w:rsidRPr="004E53DE" w:rsidRDefault="00985A9F">
            <w:pPr>
              <w:spacing w:line="360" w:lineRule="auto"/>
              <w:rPr>
                <w:rFonts w:ascii="David" w:hAnsi="David"/>
                <w:b/>
                <w:bCs/>
                <w:color w:val="FF0000"/>
              </w:rPr>
            </w:pPr>
          </w:p>
        </w:tc>
        <w:tc>
          <w:tcPr>
            <w:tcW w:w="2350" w:type="dxa"/>
            <w:tcBorders>
              <w:top w:val="single" w:sz="4" w:space="0" w:color="auto"/>
              <w:left w:val="nil"/>
              <w:bottom w:val="nil"/>
              <w:right w:val="nil"/>
            </w:tcBorders>
            <w:hideMark/>
          </w:tcPr>
          <w:p w:rsidR="00985A9F" w:rsidRPr="004E53DE" w:rsidRDefault="00985A9F">
            <w:pPr>
              <w:spacing w:line="360" w:lineRule="auto"/>
              <w:jc w:val="center"/>
              <w:rPr>
                <w:rFonts w:ascii="David" w:hAnsi="David"/>
                <w:b/>
                <w:bCs/>
              </w:rPr>
            </w:pPr>
            <w:r w:rsidRPr="004E53DE">
              <w:rPr>
                <w:rFonts w:ascii="David" w:hAnsi="David"/>
                <w:b/>
                <w:bCs/>
                <w:rtl/>
              </w:rPr>
              <w:t>נ. סילמן, שופט</w:t>
            </w:r>
          </w:p>
        </w:tc>
      </w:tr>
    </w:tbl>
    <w:p w:rsidR="00985A9F" w:rsidRPr="004E53DE" w:rsidRDefault="00985A9F" w:rsidP="004E53DE">
      <w:pPr>
        <w:rPr>
          <w:rFonts w:ascii="David" w:eastAsia="David" w:hAnsi="David"/>
        </w:rPr>
      </w:pPr>
    </w:p>
    <w:p w:rsidR="00985A9F" w:rsidRPr="004E53DE" w:rsidRDefault="00985A9F" w:rsidP="004E53DE">
      <w:pPr>
        <w:rPr>
          <w:rFonts w:ascii="David" w:hAnsi="David"/>
        </w:rPr>
      </w:pPr>
    </w:p>
    <w:p w:rsidR="00985A9F" w:rsidRDefault="00985A9F"/>
    <w:p w:rsidR="00985A9F" w:rsidRDefault="00985A9F" w:rsidP="00860102">
      <w:pPr>
        <w:spacing w:line="360" w:lineRule="auto"/>
        <w:jc w:val="both"/>
        <w:rPr>
          <w:rFonts w:ascii="Arial" w:hAnsi="Arial"/>
          <w:noProof w:val="0"/>
          <w:rtl/>
        </w:rPr>
      </w:pPr>
    </w:p>
    <w:sectPr w:rsidR="00985A9F"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092" w:rsidRDefault="00EE0092">
      <w:r>
        <w:separator/>
      </w:r>
    </w:p>
  </w:endnote>
  <w:endnote w:type="continuationSeparator" w:id="0">
    <w:p w:rsidR="00EE0092" w:rsidRDefault="00EE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0BB" w:rsidRDefault="004960B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A76F36">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A76F36">
      <w:rPr>
        <w:rStyle w:val="ab"/>
        <w:rFonts w:ascii="David" w:hAnsi="David"/>
        <w:rtl/>
      </w:rPr>
      <w:t>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0BB" w:rsidRDefault="004960B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092" w:rsidRDefault="00EE0092">
      <w:r>
        <w:separator/>
      </w:r>
    </w:p>
  </w:footnote>
  <w:footnote w:type="continuationSeparator" w:id="0">
    <w:p w:rsidR="00EE0092" w:rsidRDefault="00EE0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0BB" w:rsidRDefault="004960B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73F12">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873F12">
      <w:trPr>
        <w:trHeight w:val="337"/>
        <w:jc w:val="center"/>
      </w:trPr>
      <w:tc>
        <w:tcPr>
          <w:tcW w:w="8307" w:type="dxa"/>
        </w:tcPr>
        <w:p w:rsidR="007D45E3" w:rsidRDefault="00EE0092" w:rsidP="000B3F3C">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26687-01-24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0B3F3C">
                <w:rPr>
                  <w:rFonts w:hint="cs"/>
                  <w:b/>
                  <w:bCs/>
                  <w:noProof w:val="0"/>
                  <w:sz w:val="26"/>
                  <w:szCs w:val="26"/>
                  <w:rtl/>
                </w:rPr>
                <w:t>פלונית נ' פלוני</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873F12">
          <w:pPr>
            <w:rPr>
              <w:sz w:val="20"/>
              <w:szCs w:val="20"/>
              <w:rtl/>
            </w:rPr>
          </w:pPr>
          <w:r>
            <w:rPr>
              <w:rFonts w:hint="cs"/>
              <w:rtl/>
            </w:rPr>
            <w:t xml:space="preserve">                           </w:t>
          </w:r>
          <w:r>
            <w:rPr>
              <w:rFonts w:hint="cs"/>
              <w:sz w:val="20"/>
              <w:szCs w:val="20"/>
              <w:rtl/>
            </w:rPr>
            <w:t xml:space="preserve">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0BB" w:rsidRDefault="004960B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0103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01033&amp;lt;/CaseID&amp;gt;_x000d__x000a_        &amp;lt;CaseMonth&amp;gt;1&amp;lt;/CaseMonth&amp;gt;_x000d__x000a_        &amp;lt;CaseYear&amp;gt;2024&amp;lt;/CaseYear&amp;gt;_x000d__x000a_        &amp;lt;CaseNumber&amp;gt;26687&amp;lt;/CaseNumber&amp;gt;_x000d__x000a_        &amp;lt;NumeratorGroupID&amp;gt;1&amp;lt;/NumeratorGroupID&amp;gt;_x000d__x000a_        &amp;lt;CaseName&amp;gt;בן עמי נ&amp;#39; בן עמי&amp;lt;/CaseName&amp;gt;_x000d__x000a_        &amp;lt;CourtID&amp;gt;13&amp;lt;/CourtID&amp;gt;_x000d__x000a_        &amp;lt;CaseTypeID&amp;gt;63&amp;lt;/CaseTypeID&amp;gt;_x000d__x000a_        &amp;lt;CaseInterestID&amp;gt;10514&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6687-01-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1-11T08:12:00+02:00&amp;lt;/CaseOpenDate&amp;gt;_x000d__x000a_        &amp;lt;PleaTypeID&amp;gt;6&amp;lt;/PleaTypeID&amp;gt;_x000d__x000a_        &amp;lt;CourtLevelID&amp;gt;2&amp;lt;/CourtLevelID&amp;gt;_x000d__x000a_        &amp;lt;CourtLevelCaseTypeInterestID&amp;gt;1763&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ותקים מכתב תשובה התקבלו הועברו לשופטי ההרכב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01033&amp;lt;/CaseID&amp;gt;_x000d__x000a_        &amp;lt;CaseMonth&amp;gt;1&amp;lt;/CaseMonth&amp;gt;_x000d__x000a_        &amp;lt;CaseYear&amp;gt;2024&amp;lt;/CaseYear&amp;gt;_x000d__x000a_        &amp;lt;CaseNumber&amp;gt;26687&amp;lt;/CaseNumber&amp;gt;_x000d__x000a_        &amp;lt;NumeratorGroupID&amp;gt;1&amp;lt;/NumeratorGroupID&amp;gt;_x000d__x000a_        &amp;lt;CaseName&amp;gt;בן עמי נ&amp;#39; בן עמי&amp;lt;/CaseName&amp;gt;_x000d__x000a_        &amp;lt;CourtID&amp;gt;13&amp;lt;/CourtID&amp;gt;_x000d__x000a_        &amp;lt;CaseTypeID&amp;gt;63&amp;lt;/CaseTypeID&amp;gt;_x000d__x000a_        &amp;lt;CaseInterestID&amp;gt;10514&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6687-01-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4-01-11T08:12:00+02:00&amp;lt;/CaseOpenDate&amp;gt;_x000d__x000a_        &amp;lt;PleaTypeID&amp;gt;6&amp;lt;/PleaTypeID&amp;gt;_x000d__x000a_        &amp;lt;CourtLevelID&amp;gt;2&amp;lt;/CourtLevelID&amp;gt;_x000d__x000a_        &amp;lt;CourtLevelCaseTypeInterestID&amp;gt;1763&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ותקים מכתב תשובה התקבלו הועברו לשופטי ההרכב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56864&amp;lt;/DecisionID&amp;gt;_x000d__x000a_        &amp;lt;DecisionName&amp;gt;פסק דין  שניתנה ע&amp;quot;י  סארי ג&amp;#39;יוסי&amp;lt;/DecisionName&amp;gt;_x000d__x000a_        &amp;lt;DecisionStatusID&amp;gt;1&amp;lt;/DecisionStatusID&amp;gt;_x000d__x000a_        &amp;lt;DecisionStatusChangeDate&amp;gt;2024-05-28T10:41:09.33+03:00&amp;lt;/DecisionStatusChangeDate&amp;gt;_x000d__x000a_        &amp;lt;DecisionSignatureDate&amp;gt;2024-05-28T10:41:08.083+03:00&amp;lt;/DecisionSignatureDate&amp;gt;_x000d__x000a_        &amp;lt;DecisionSignatureUserID&amp;gt;023469166@GOV.IL&amp;lt;/DecisionSignatureUserID&amp;gt;_x000d__x000a_        &amp;lt;DecisionCreateDate&amp;gt;2024-05-26T10:55:49.25+03:00&amp;lt;/DecisionCreateDate&amp;gt;_x000d__x000a_        &amp;lt;DecisionChangeDate&amp;gt;2024-05-28T10:41:09.397+03:00&amp;lt;/DecisionChangeDate&amp;gt;_x000d__x000a_        &amp;lt;DecisionChangeUserID&amp;gt;05965574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98807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55746@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1856864&amp;lt;/DecisionID&amp;gt;_x000d__x000a_        &amp;lt;CaseID&amp;gt;80901033&amp;lt;/CaseID&amp;gt;_x000d__x000a_        &amp;lt;IsOriginal&amp;gt;true&amp;lt;/IsOriginal&amp;gt;_x000d__x000a_        &amp;lt;IsDeleted&amp;gt;false&amp;lt;/IsDeleted&amp;gt;_x000d__x000a_        &amp;lt;CaseName&amp;gt;בן עמי נ&amp;#39; בן עמי&amp;lt;/CaseName&amp;gt;_x000d__x000a_        &amp;lt;CaseDisplayIdentifier&amp;gt;26687-01-24 עמ&amp;quot;ש&amp;lt;/CaseDisplayIdentifier&amp;gt;_x000d__x000a_      &amp;lt;/dt_DecisionCase&amp;gt;_x000d__x000a_      &amp;lt;dt_DecisionJudgePanel diffgr:id=&amp;quot;dt_DecisionJudgePanel1&amp;quot; msdata:rowOrder=&amp;quot;0&amp;quot;&amp;gt;_x000d__x000a_        &amp;lt;DecisionID&amp;gt;151856864&amp;lt;/DecisionID&amp;gt;_x000d__x000a_        &amp;lt;JudgeID&amp;gt;02346916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1856864&amp;lt;/DecisionID&amp;gt;_x000d__x000a_        &amp;lt;JudgeID&amp;gt;028600542@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1856864&amp;lt;/DecisionID&amp;gt;_x000d__x000a_        &amp;lt;JudgeID&amp;gt;027879451@GOV.IL&amp;lt;/JudgeID&amp;gt;_x000d__x000a_        &amp;lt;OrdinalNumber&amp;gt;3&amp;lt;/OrdinalNumber&amp;gt;_x000d__x000a_      &amp;lt;/dt_DecisionJudgePanel&amp;gt;_x000d__x000a_    &amp;lt;/DecisionDS&amp;gt;_x000d__x000a_  &amp;lt;/diffgr:diffgram&amp;gt;_x000d__x000a_&amp;lt;/DecisionDS&amp;gt;"/>
    <w:docVar w:name="DecisionID" w:val="151856864"/>
    <w:docVar w:name="docID" w:val="443988070"/>
    <w:docVar w:name="judgeUPN" w:val="023469166@GOV.IL"/>
    <w:docVar w:name="NGCS.TemplateCaseInterestID" w:val="10514"/>
    <w:docVar w:name="NGCS.TemplateCaseTypeID" w:val="63"/>
    <w:docVar w:name="NGCS.TemplateCourtID" w:val="13"/>
    <w:docVar w:name="NGCS.TemplateProceedingID" w:val="14"/>
    <w:docVar w:name="noteDocID" w:val="443988070"/>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B3F3C"/>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054C"/>
    <w:rsid w:val="001D4DBF"/>
    <w:rsid w:val="001E75CA"/>
    <w:rsid w:val="002208F6"/>
    <w:rsid w:val="002265FF"/>
    <w:rsid w:val="00226DDC"/>
    <w:rsid w:val="00271B56"/>
    <w:rsid w:val="00272E32"/>
    <w:rsid w:val="002C344E"/>
    <w:rsid w:val="002E75E9"/>
    <w:rsid w:val="002F0B1E"/>
    <w:rsid w:val="003068F8"/>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52BBE"/>
    <w:rsid w:val="00462C62"/>
    <w:rsid w:val="00465D36"/>
    <w:rsid w:val="00481E17"/>
    <w:rsid w:val="004960BB"/>
    <w:rsid w:val="004A1951"/>
    <w:rsid w:val="004B1E08"/>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3996"/>
    <w:rsid w:val="00594BCC"/>
    <w:rsid w:val="005F4F09"/>
    <w:rsid w:val="00603F73"/>
    <w:rsid w:val="0061431B"/>
    <w:rsid w:val="00622BAA"/>
    <w:rsid w:val="006306CF"/>
    <w:rsid w:val="00642177"/>
    <w:rsid w:val="00644E9A"/>
    <w:rsid w:val="00671BD5"/>
    <w:rsid w:val="006805C1"/>
    <w:rsid w:val="00686C21"/>
    <w:rsid w:val="006931C1"/>
    <w:rsid w:val="00694556"/>
    <w:rsid w:val="006C30C5"/>
    <w:rsid w:val="006D3B31"/>
    <w:rsid w:val="006E0D96"/>
    <w:rsid w:val="006E1A53"/>
    <w:rsid w:val="006F56E6"/>
    <w:rsid w:val="00704EDA"/>
    <w:rsid w:val="00721122"/>
    <w:rsid w:val="00731FC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50D0E"/>
    <w:rsid w:val="00851950"/>
    <w:rsid w:val="00860102"/>
    <w:rsid w:val="00863F5D"/>
    <w:rsid w:val="00870890"/>
    <w:rsid w:val="00873602"/>
    <w:rsid w:val="00873F12"/>
    <w:rsid w:val="00875772"/>
    <w:rsid w:val="00875D12"/>
    <w:rsid w:val="00876170"/>
    <w:rsid w:val="0088479D"/>
    <w:rsid w:val="00891F42"/>
    <w:rsid w:val="00896889"/>
    <w:rsid w:val="008A6E97"/>
    <w:rsid w:val="008C5714"/>
    <w:rsid w:val="008D10B2"/>
    <w:rsid w:val="008F5F78"/>
    <w:rsid w:val="00903896"/>
    <w:rsid w:val="00906F3D"/>
    <w:rsid w:val="0094424E"/>
    <w:rsid w:val="00955642"/>
    <w:rsid w:val="009622DF"/>
    <w:rsid w:val="0096493F"/>
    <w:rsid w:val="00967DFF"/>
    <w:rsid w:val="00985A9F"/>
    <w:rsid w:val="00994341"/>
    <w:rsid w:val="009D1A48"/>
    <w:rsid w:val="009E1CE7"/>
    <w:rsid w:val="009E461A"/>
    <w:rsid w:val="009E4EA5"/>
    <w:rsid w:val="009F164B"/>
    <w:rsid w:val="009F323C"/>
    <w:rsid w:val="00A3392B"/>
    <w:rsid w:val="00A46717"/>
    <w:rsid w:val="00A76F36"/>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26EF"/>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6AB"/>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2E82"/>
    <w:rsid w:val="00E962E3"/>
    <w:rsid w:val="00EB6C79"/>
    <w:rsid w:val="00EC37E9"/>
    <w:rsid w:val="00EE0092"/>
    <w:rsid w:val="00F038D8"/>
    <w:rsid w:val="00F06995"/>
    <w:rsid w:val="00F12D66"/>
    <w:rsid w:val="00F13623"/>
    <w:rsid w:val="00F44D1D"/>
    <w:rsid w:val="00F84B6D"/>
    <w:rsid w:val="00F957E8"/>
    <w:rsid w:val="00FA311A"/>
    <w:rsid w:val="00FA5FDA"/>
    <w:rsid w:val="00FB6AB3"/>
    <w:rsid w:val="00FD1419"/>
    <w:rsid w:val="00FD3CFD"/>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David">
    <w:name w:val="סגנון (עברית ושפות אחרות) David מיושר לשני הצדדים מרווח בין שורות..."/>
    <w:basedOn w:val="a"/>
    <w:rsid w:val="00985A9F"/>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7401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gif"/><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B24FC5" w:rsidRDefault="00A95159">
          <w:pPr>
            <w:pStyle w:val="55C19643665345BA94ECAF77DA9FABDA"/>
          </w:pPr>
          <w:r>
            <w:rPr>
              <w:b/>
              <w:bCs/>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17D88"/>
    <w:rsid w:val="000A4ACE"/>
    <w:rsid w:val="000B2DEA"/>
    <w:rsid w:val="001D696D"/>
    <w:rsid w:val="002D02C4"/>
    <w:rsid w:val="00345C9D"/>
    <w:rsid w:val="0048651F"/>
    <w:rsid w:val="005157ED"/>
    <w:rsid w:val="005171E8"/>
    <w:rsid w:val="00556D67"/>
    <w:rsid w:val="0062215E"/>
    <w:rsid w:val="006377AB"/>
    <w:rsid w:val="00793995"/>
    <w:rsid w:val="007A424D"/>
    <w:rsid w:val="007C6F98"/>
    <w:rsid w:val="007E254A"/>
    <w:rsid w:val="00817811"/>
    <w:rsid w:val="008B4366"/>
    <w:rsid w:val="009133C7"/>
    <w:rsid w:val="009178E4"/>
    <w:rsid w:val="00961B27"/>
    <w:rsid w:val="009A4BEE"/>
    <w:rsid w:val="00A51CA1"/>
    <w:rsid w:val="00A95159"/>
    <w:rsid w:val="00AA7CE3"/>
    <w:rsid w:val="00AD53D7"/>
    <w:rsid w:val="00B24FC5"/>
    <w:rsid w:val="00B50DB2"/>
    <w:rsid w:val="00B91FA3"/>
    <w:rsid w:val="00BE6557"/>
    <w:rsid w:val="00C96C06"/>
    <w:rsid w:val="00CB0427"/>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68CDDC54AA94CFA8EA8DFCBDC9DDAEE">
    <w:name w:val="768CDDC54AA94CFA8EA8DFCBDC9DDAEE"/>
    <w:pPr>
      <w:bidi/>
    </w:pPr>
  </w:style>
  <w:style w:type="paragraph" w:customStyle="1" w:styleId="6EF1B7DE16CD464A99C171C7195442F0">
    <w:name w:val="6EF1B7DE16CD464A99C171C7195442F0"/>
    <w:pPr>
      <w:bidi/>
    </w:pPr>
  </w:style>
  <w:style w:type="paragraph" w:customStyle="1" w:styleId="55C19643665345BA94ECAF77DA9FABDA">
    <w:name w:val="55C19643665345BA94ECAF77DA9FABDA"/>
    <w:pPr>
      <w:bidi/>
    </w:pPr>
  </w:style>
  <w:style w:type="paragraph" w:customStyle="1" w:styleId="0DB9E2E57BCE49938A026CC6CEA0798E">
    <w:name w:val="0DB9E2E57BCE49938A026CC6CEA0798E"/>
    <w:pPr>
      <w:bidi/>
    </w:pPr>
  </w:style>
  <w:style w:type="paragraph" w:customStyle="1" w:styleId="5F28A75D289447C7AFDA15AE004A35C6">
    <w:name w:val="5F28A75D289447C7AFDA15AE004A35C6"/>
    <w:pPr>
      <w:bidi/>
    </w:pPr>
  </w:style>
  <w:style w:type="paragraph" w:customStyle="1" w:styleId="3108FAA8E39A40FD9D99FC42774E43AA">
    <w:name w:val="3108FAA8E39A40FD9D99FC42774E43AA"/>
    <w:pPr>
      <w:bidi/>
    </w:pPr>
  </w:style>
  <w:style w:type="paragraph" w:customStyle="1" w:styleId="DBCADC65A704474CA793826375B3E9C3">
    <w:name w:val="DBCADC65A704474CA793826375B3E9C3"/>
    <w:pPr>
      <w:bidi/>
    </w:pPr>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מקסים ליפקין</FullName>
        <FirstName>מקסים</FirstName>
        <LastName>ליפקין</LastName>
        <PartyPropertyName/>
        <AuthenticationTypeAndNumber>מ.ר. 24518</AuthenticationTypeAndNumber>
        <RepresentatedOrRepresentativesNames>נאור בן עמי</RepresentatedOrRepresentativesNames>
        <RepresentatedOrRepresentativesCount>1</RepresentatedOrRepresentativesCount>
        <InvitedBy/>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yID>264854080</CasePartyID>
        <PartyTypeID>2</PartyTypeID>
        <ActivityStatusID>1</ActivityStatusID>
        <PartyAliasID>23</PartyAliasID>
        <PartyAliasName>בא כוח משיבים</PartyAliasName>
        <LegalEntityID>385014</LegalEntityID>
        <CaseLegalEntityID>127329552</CaseLegalEntityID>
        <AuthenticationTypeID>4</AuthenticationTypeID>
        <AuthenticationTypeName>מ.ר.</AuthenticationTypeName>
        <LegalEntityNumber>24518</LegalEntityNumber>
        <IsMainPartyType>true</IsMainPartyType>
        <CaseDisplayIdentifier>26687-01-24</CaseDisplayIdentifier>
        <CaseTypeID>63</CaseTypeID>
        <CaseTypeName>ערעור משפחה (עמ"ש)</CaseTypeName>
        <CaseName>בן עמי נ' בן עמי</CaseName>
        <FullAddress>דיזינגוף 50 תל אביב -יפו קומה 21</FullAddress>
        <EmailAddress>lipkin.lipkin1@gmail.com</EmailAddress>
        <MotionID>0</MotionID>
        <CasePleaID>0</CasePleaID>
        <FatherName xml:space="preserve">        </FatherName>
        <LinkedCaseID>0</LinkedCaseID>
        <PartyID>2</PartyID>
        <CasePartyCategoryID>2</CasePartyCategoryID>
        <LegalEntityAddressID>79954161</LegalEntityAddressID>
        <LegalEntityEmailAddressID>68077548</LegalEntityEmailAddressID>
        <PleaTypeID>6</PleaTypeID>
        <LawyerOfficeName>משרד עו"ד:ליפקין את ליפקין</LawyerOfficeName>
        <LawyerOfficeID>448455</LawyerOfficeID>
        <GroupPartyAlias/>
        <IsConverted>false</IsConverted>
        <LegalEntityNameID>5998</LegalEntityNameID>
        <RepresentatedNamesOfAssistant/>
        <LegalEntityTypeID>4</LegalEntityTypeID>
        <IsVerdictExists>false</IsVerdictExists>
        <IsAsirAzir>false</IsAsirAzir>
        <IsPublicationProhibited>false</IsPublicationProhibited>
        <PublicationProhibitedFullName>מקסים ליפקין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דקל מנחמי</FullName>
        <FirstName>דקל</FirstName>
        <LastName>מנחמי</LastName>
        <PartyPropertyName/>
        <AuthenticationTypeAndNumber>מ.ר. 66783</AuthenticationTypeAndNumber>
        <RepresentatedOrRepresentativesNames>דולב חשון בן עמי</RepresentatedOrRepresentativesNames>
        <RepresentatedOrRepresentativesCount>1</RepresentatedOrRepresentativesCount>
        <InvitedBy/>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yID>264852204</CasePartyID>
        <PartyTypeID>2</PartyTypeID>
        <ActivityStatusID>1</ActivityStatusID>
        <PartyAliasID>24</PartyAliasID>
        <PartyAliasName>בא כוח מערערים</PartyAliasName>
        <OrdinalNumber>1</OrdinalNumber>
        <LegalEntityID>73300546</LegalEntityID>
        <CaseLegalEntityID>127328839</CaseLegalEntityID>
        <AuthenticationTypeID>4</AuthenticationTypeID>
        <AuthenticationTypeName>מ.ר.</AuthenticationTypeName>
        <LegalEntityNumber>66783</LegalEntityNumber>
        <IsMainPartyType>true</IsMainPartyType>
        <CaseDisplayIdentifier>26687-01-24</CaseDisplayIdentifier>
        <CaseTypeID>63</CaseTypeID>
        <CaseTypeName>ערעור משפחה (עמ"ש)</CaseTypeName>
        <CaseName>בן עמי נ' בן עמי</CaseName>
        <FullAddress>קיבוץ אפיקים אפיקים עמק הירדן</FullAddress>
        <EmailAddress>dekel@m-law-firm.com</EmailAddress>
        <MotionID>0</MotionID>
        <CasePleaID>0</CasePleaID>
        <LinkedCaseID>0</LinkedCaseID>
        <PartyID>1</PartyID>
        <CasePartyCategoryID>2</CasePartyCategoryID>
        <LegalEntityAddressID>75625099</LegalEntityAddressID>
        <LegalEntityEmailAddressID>67859130</LegalEntityEmailAddressID>
        <PleaTypeID>6</PleaTypeID>
        <LawyerOfficeName>משרד עו"ד דקל מנחמי</LawyerOfficeName>
        <LawyerOfficeID>73300547</LawyerOfficeID>
        <GroupPartyAlias/>
        <IsConverted>false</IsConverted>
        <LegalEntityNameID>77917154</LegalEntityNameID>
        <RepresentatedNamesOfAssistant/>
        <LegalEntityTypeID>4</LegalEntityTypeID>
        <IsVerdictExists>false</IsVerdictExists>
        <IsAsirAzir>false</IsAsirAzir>
        <IsPublicationProhibited>false</IsPublicationProhibited>
        <PublicationProhibitedFullName>דקל מנחמי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דולב חשון בן עמי</FullName>
        <FirstName>דלב חשון</FirstName>
        <LastName>בן עמי</LastName>
        <PartyPropertyName/>
        <AuthenticationTypeAndNumber>ת"ז 066090317</AuthenticationTypeAndNumber>
        <RepresentatedOrRepresentativesNames>דקל מנחמי</RepresentatedOrRepresentativesNames>
        <RepresentatedOrRepresentativesCount>1</RepresentatedOrRepresentativesCount>
        <InvitedBy/>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yID>264852202</CasePartyID>
        <PartyTypeID>1</PartyTypeID>
        <ActivityStatusID>1</ActivityStatusID>
        <PartyAliasID>5</PartyAliasID>
        <PartyAliasName>מערער</PartyAliasName>
        <OrdinalNumber>1</OrdinalNumber>
        <LegalEntityID>79872804</LegalEntityID>
        <CaseLegalEntityID>127328837</CaseLegalEntityID>
        <AuthenticationTypeID>1</AuthenticationTypeID>
        <AuthenticationTypeName>ת"ז</AuthenticationTypeName>
        <LegalEntityNumber>066090317</LegalEntityNumber>
        <IsMainPartyType>true</IsMainPartyType>
        <CaseDisplayIdentifier>26687-01-24</CaseDisplayIdentifier>
        <CaseTypeID>63</CaseTypeID>
        <CaseTypeName>ערעור משפחה (עמ"ש)</CaseTypeName>
        <CaseName>בן עמי נ' בן עמי</CaseName>
        <FullAddress>68 לימן </FullAddress>
        <MotionID>0</MotionID>
        <CasePleaID>0</CasePleaID>
        <FatherName>דוד</FatherName>
        <LinkedCaseID>0</LinkedCaseID>
        <PartyID>1</PartyID>
        <CasePartyCategoryID>2</CasePartyCategoryID>
        <LegalEntityAddressID>88825222</LegalEntityAddressID>
        <PleaTypeID>6</PleaTypeID>
        <GroupPartyAlias>מערערים</GroupPartyAlias>
        <IsConverted>false</IsConverted>
        <LegalEntityRegisteredNameID>9577021</LegalEntityRegisteredNameID>
        <LegalEntityNameID>95984919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דולב חשון בן עמי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נאור בן עמי</FullName>
        <FirstName>נאור</FirstName>
        <LastName>בן עמי</LastName>
        <PartyPropertyName/>
        <AuthenticationTypeAndNumber>ת"ז 036094324</AuthenticationTypeAndNumber>
        <RepresentatedOrRepresentativesNames>מקסים ליפקין</RepresentatedOrRepresentativesNames>
        <RepresentatedOrRepresentativesCount>1</RepresentatedOrRepresentativesCount>
        <InvitedBy/>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yID>264852203</CasePartyID>
        <PartyTypeID>1</PartyTypeID>
        <ActivityStatusID>1</ActivityStatusID>
        <PartyAliasID>4</PartyAliasID>
        <PartyAliasName>משיב</PartyAliasName>
        <OrdinalNumber>1</OrdinalNumber>
        <LegalEntityID>71635492</LegalEntityID>
        <CaseLegalEntityID>127328838</CaseLegalEntityID>
        <AuthenticationTypeID>1</AuthenticationTypeID>
        <AuthenticationTypeName>ת"ז</AuthenticationTypeName>
        <LegalEntityNumber>036094324</LegalEntityNumber>
        <IsMainPartyType>true</IsMainPartyType>
        <CaseDisplayIdentifier>26687-01-24</CaseDisplayIdentifier>
        <CaseTypeID>63</CaseTypeID>
        <CaseTypeName>ערעור משפחה (עמ"ש)</CaseTypeName>
        <CaseName>בן עמי נ' בן עמי</CaseName>
        <FullAddress>מלחמת יום הכיפורים 8 א נהרייה </FullAddress>
        <MotionID>0</MotionID>
        <CasePleaID>0</CasePleaID>
        <FatherName>אברהם</FatherName>
        <LinkedCaseID>0</LinkedCaseID>
        <PartyID>2</PartyID>
        <CasePartyCategoryID>2</CasePartyCategoryID>
        <LegalEntityAddressID>86642022</LegalEntityAddressID>
        <GrandfatherName/>
        <DrivingLicenseNumber>7090794</DrivingLicenseNumber>
        <PleaTypeID>6</PleaTypeID>
        <GroupPartyAlias>משיבים</GroupPartyAlias>
        <IsConverted>false</IsConverted>
        <LegalEntityRegisteredNameID>3353283</LegalEntityRegisteredNameID>
        <LegalEntityNameID>95984924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נאור בן עמי</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true</IsCaseJudgePanel>
    <DecisionSignatureDate>2024-05-26T10:50:33.4649167+03:00</DecisionSignatureDate>
    <OpenCaseDate>2024-01-11T08:12:00+02:00</OpenCaseDate>
    <CaseFeeSum>0.000</CaseFeeSum>
    <DecisionTypeID>2</DecisionTypeID>
    <DecisionSignatureUserName>סארי ג'יוסי</DecisionSignatureUserName>
    <DecisionSignatureDateHebrew>2024-05-26T10:50:33.4649167+03:00</DecisionSignatureDateHebrew>
    <DecisionWriterID>023469166@GOV.IL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בן עמי נ' בן עמי</CaseName>
    <DecisionNumberInCase>5</DecisionNumberInCase>
  </dt_Decision>
  <dt_DecisionCase>
    <DecisionID>0</DecisionID>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מקסים ליפקין</FullName>
        <FirstName>מקסים</FirstName>
        <LastName>ליפקין</LastName>
        <PartyPropertyName/>
        <AuthenticationTypeAndNumber>מ.ר. 24518</AuthenticationTypeAndNumber>
        <RepresentatedOrRepresentativesNames>נאור בן עמי</RepresentatedOrRepresentativesNames>
        <RepresentatedOrRepresentativesCount>1</RepresentatedOrRepresentativesCount>
        <InvitedBy/>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yID>264854080</CasePartyID>
        <PartyTypeID>2</PartyTypeID>
        <ActivityStatusID>1</ActivityStatusID>
        <PartyAliasID>23</PartyAliasID>
        <PartyAliasName>בא כוח משיבים</PartyAliasName>
        <LegalEntityID>385014</LegalEntityID>
        <CaseLegalEntityID>127329552</CaseLegalEntityID>
        <AuthenticationTypeID>4</AuthenticationTypeID>
        <AuthenticationTypeName>מ.ר.</AuthenticationTypeName>
        <LegalEntityNumber>24518</LegalEntityNumber>
        <IsMainPartyType>true</IsMainPartyType>
        <CaseDisplayIdentifier>26687-01-24</CaseDisplayIdentifier>
        <CaseTypeID>63</CaseTypeID>
        <CaseTypeName>ערעור משפחה (עמ"ש)</CaseTypeName>
        <CaseName>בן עמי נ' בן עמי</CaseName>
        <FullAddress>דיזינגוף 50 תל אביב -יפו קומה 21</FullAddress>
        <EmailAddress>lipkin.lipkin1@gmail.com</EmailAddress>
        <MotionID>0</MotionID>
        <CasePleaID>0</CasePleaID>
        <FatherName xml:space="preserve">        </FatherName>
        <LinkedCaseID>0</LinkedCaseID>
        <PartyID>2</PartyID>
        <CasePartyCategoryID>2</CasePartyCategoryID>
        <LegalEntityAddressID>79954161</LegalEntityAddressID>
        <LegalEntityEmailAddressID>68077548</LegalEntityEmailAddressID>
        <PleaTypeID>6</PleaTypeID>
        <LawyerOfficeName>משרד עו"ד:ליפקין את ליפקין</LawyerOfficeName>
        <LawyerOfficeID>448455</LawyerOfficeID>
        <GroupPartyAlias/>
        <IsConverted>false</IsConverted>
        <LegalEntityNameID>5998</LegalEntityNameID>
        <RepresentatedNamesOfAssistant/>
        <LegalEntityTypeID>4</LegalEntityTypeID>
        <IsVerdictExists>false</IsVerdictExists>
        <IsAsirAzir>false</IsAsirAzir>
        <IsPublicationProhibited>false</IsPublicationProhibited>
        <PublicationProhibitedFullName>מקסים ליפקין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דקל מנחמי</FullName>
        <FirstName>דקל</FirstName>
        <LastName>מנחמי</LastName>
        <PartyPropertyName/>
        <AuthenticationTypeAndNumber>מ.ר. 66783</AuthenticationTypeAndNumber>
        <RepresentatedOrRepresentativesNames>דולב חשון בן עמי</RepresentatedOrRepresentativesNames>
        <RepresentatedOrRepresentativesCount>1</RepresentatedOrRepresentativesCount>
        <InvitedBy/>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yID>264852204</CasePartyID>
        <PartyTypeID>2</PartyTypeID>
        <ActivityStatusID>1</ActivityStatusID>
        <PartyAliasID>24</PartyAliasID>
        <PartyAliasName>בא כוח מערערים</PartyAliasName>
        <OrdinalNumber>1</OrdinalNumber>
        <LegalEntityID>73300546</LegalEntityID>
        <CaseLegalEntityID>127328839</CaseLegalEntityID>
        <AuthenticationTypeID>4</AuthenticationTypeID>
        <AuthenticationTypeName>מ.ר.</AuthenticationTypeName>
        <LegalEntityNumber>66783</LegalEntityNumber>
        <IsMainPartyType>true</IsMainPartyType>
        <CaseDisplayIdentifier>26687-01-24</CaseDisplayIdentifier>
        <CaseTypeID>63</CaseTypeID>
        <CaseTypeName>ערעור משפחה (עמ"ש)</CaseTypeName>
        <CaseName>בן עמי נ' בן עמי</CaseName>
        <FullAddress>קיבוץ אפיקים אפיקים עמק הירדן</FullAddress>
        <EmailAddress>dekel@m-law-firm.com</EmailAddress>
        <MotionID>0</MotionID>
        <CasePleaID>0</CasePleaID>
        <LinkedCaseID>0</LinkedCaseID>
        <PartyID>1</PartyID>
        <CasePartyCategoryID>2</CasePartyCategoryID>
        <LegalEntityAddressID>75625099</LegalEntityAddressID>
        <LegalEntityEmailAddressID>67859130</LegalEntityEmailAddressID>
        <PleaTypeID>6</PleaTypeID>
        <LawyerOfficeName>משרד עו"ד דקל מנחמי</LawyerOfficeName>
        <LawyerOfficeID>73300547</LawyerOfficeID>
        <GroupPartyAlias/>
        <IsConverted>false</IsConverted>
        <LegalEntityNameID>77917154</LegalEntityNameID>
        <RepresentatedNamesOfAssistant/>
        <LegalEntityTypeID>4</LegalEntityTypeID>
        <IsVerdictExists>false</IsVerdictExists>
        <IsAsirAzir>false</IsAsirAzir>
        <IsPublicationProhibited>false</IsPublicationProhibited>
        <PublicationProhibitedFullName>דקל מנחמי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דולב חשון בן עמי</FullName>
        <FirstName>דלב חשון</FirstName>
        <LastName>בן עמי</LastName>
        <PartyPropertyName/>
        <AuthenticationTypeAndNumber>ת"ז 066090317</AuthenticationTypeAndNumber>
        <RepresentatedOrRepresentativesNames>דקל מנחמי</RepresentatedOrRepresentativesNames>
        <RepresentatedOrRepresentativesCount>1</RepresentatedOrRepresentativesCount>
        <InvitedBy/>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yID>264852202</CasePartyID>
        <PartyTypeID>1</PartyTypeID>
        <ActivityStatusID>1</ActivityStatusID>
        <PartyAliasID>5</PartyAliasID>
        <PartyAliasName>מערער</PartyAliasName>
        <OrdinalNumber>1</OrdinalNumber>
        <LegalEntityID>79872804</LegalEntityID>
        <CaseLegalEntityID>127328837</CaseLegalEntityID>
        <AuthenticationTypeID>1</AuthenticationTypeID>
        <AuthenticationTypeName>ת"ז</AuthenticationTypeName>
        <LegalEntityNumber>066090317</LegalEntityNumber>
        <IsMainPartyType>true</IsMainPartyType>
        <CaseDisplayIdentifier>26687-01-24</CaseDisplayIdentifier>
        <CaseTypeID>63</CaseTypeID>
        <CaseTypeName>ערעור משפחה (עמ"ש)</CaseTypeName>
        <CaseName>בן עמי נ' בן עמי</CaseName>
        <FullAddress>68 לימן </FullAddress>
        <MotionID>0</MotionID>
        <CasePleaID>0</CasePleaID>
        <FatherName>דוד</FatherName>
        <LinkedCaseID>0</LinkedCaseID>
        <PartyID>1</PartyID>
        <CasePartyCategoryID>2</CasePartyCategoryID>
        <LegalEntityAddressID>88825222</LegalEntityAddressID>
        <PleaTypeID>6</PleaTypeID>
        <GroupPartyAlias>מערערים</GroupPartyAlias>
        <IsConverted>false</IsConverted>
        <LegalEntityRegisteredNameID>9577021</LegalEntityRegisteredNameID>
        <LegalEntityNameID>95984919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דולב חשון בן עמי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נאור בן עמי</FullName>
        <FirstName>נאור</FirstName>
        <LastName>בן עמי</LastName>
        <PartyPropertyName/>
        <AuthenticationTypeAndNumber>ת"ז 036094324</AuthenticationTypeAndNumber>
        <RepresentatedOrRepresentativesNames>מקסים ליפקין</RepresentatedOrRepresentativesNames>
        <RepresentatedOrRepresentativesCount>1</RepresentatedOrRepresentativesCount>
        <InvitedBy/>
        <CaseID>80901033</CaseID>
        <CaseJudicialPersonPresentationDS>
          <CaseJudicalPersonActive>
            <CaseID>80901033</CaseID>
            <JudicialPersonID>023469166@GOV.IL</JudicialPersonID>
            <JudicialPersonTypeID>1</JudicialPersonTypeID>
            <JudicialTypeID>3</JudicialTypeID>
            <IsChairman>true</IsChairman>
            <TreatmentStartDate>2024-01-16T12:14:43.06+02:00</TreatmentStartDate>
            <TreatmentFinishDate>9999-12-31T23:59:59.997+02:00</TreatmentFinishDate>
            <IdentificationCardNumber>023469166</IdentificationCardNumber>
            <DisplayName>סארי ג'יוסי</DisplayName>
            <JudicialTypeName>הרכב שופטים</JudicialTypeName>
            <CaseJudicialGroupNumber>564498</CaseJudicialGroupNumber>
            <FirstName>סארי</FirstName>
            <LastName>ג'יוסי</LastName>
            <JudicialPersonTitle>שופט</JudicialPersonTitle>
          </CaseJudicalPersonActive>
          <CaseJudicalPersonActive>
            <CaseID>80901033</CaseID>
            <JudicialPersonID>028600542@GOV.IL</JudicialPersonID>
            <JudicialPersonTypeID>1</JudicialPersonTypeID>
            <JudicialTypeID>3</JudicialTypeID>
            <IsChairman>false</IsChairman>
            <TreatmentStartDate>2024-01-16T12:14:43.06+02:00</TreatmentStartDate>
            <TreatmentFinishDate>9999-12-31T23:59:59.997+02:00</TreatmentFinishDate>
            <IdentificationCardNumber>028600542</IdentificationCardNumber>
            <DisplayName>עפרה אטיאס</DisplayName>
            <JudicialTypeName>הרכב שופטים</JudicialTypeName>
            <CaseJudicialGroupNumber>564498</CaseJudicialGroupNumber>
            <FirstName>עפרה</FirstName>
            <LastName>אטיאס</LastName>
            <JudicialPersonTitle>שופט</JudicialPersonTitle>
          </CaseJudicalPersonActive>
          <CaseJudicalPersonActive>
            <CaseID>80901033</CaseID>
            <JudicialPersonID>027879451@GOV.IL</JudicialPersonID>
            <JudicialPersonTypeID>1</JudicialPersonTypeID>
            <JudicialTypeID>3</JudicialTypeID>
            <IsChairman>false</IsChairman>
            <TreatmentStartDate>2024-01-16T12:14:43.06+02:00</TreatmentStartDate>
            <TreatmentFinishDate>9999-12-31T23:59:59.997+02:00</TreatmentFinishDate>
            <IdentificationCardNumber>027879451</IdentificationCardNumber>
            <DisplayName>ניצן סילמן</DisplayName>
            <JudicialTypeName>הרכב שופטים</JudicialTypeName>
            <CaseJudicialGroupNumber>564498</CaseJudicialGroupNumber>
            <FirstName>ניצן</FirstName>
            <LastName>סילמן</LastName>
            <JudicialPersonTitle>שופט</JudicialPersonTitle>
          </CaseJudicalPersonActive>
        </CaseJudicialPersonPresentationDS>
        <CasePartyID>264852203</CasePartyID>
        <PartyTypeID>1</PartyTypeID>
        <ActivityStatusID>1</ActivityStatusID>
        <PartyAliasID>4</PartyAliasID>
        <PartyAliasName>משיב</PartyAliasName>
        <OrdinalNumber>1</OrdinalNumber>
        <LegalEntityID>71635492</LegalEntityID>
        <CaseLegalEntityID>127328838</CaseLegalEntityID>
        <AuthenticationTypeID>1</AuthenticationTypeID>
        <AuthenticationTypeName>ת"ז</AuthenticationTypeName>
        <LegalEntityNumber>036094324</LegalEntityNumber>
        <IsMainPartyType>true</IsMainPartyType>
        <CaseDisplayIdentifier>26687-01-24</CaseDisplayIdentifier>
        <CaseTypeID>63</CaseTypeID>
        <CaseTypeName>ערעור משפחה (עמ"ש)</CaseTypeName>
        <CaseName>בן עמי נ' בן עמי</CaseName>
        <FullAddress>מלחמת יום הכיפורים 8 א נהרייה </FullAddress>
        <MotionID>0</MotionID>
        <CasePleaID>0</CasePleaID>
        <FatherName>אברהם</FatherName>
        <LinkedCaseID>0</LinkedCaseID>
        <PartyID>2</PartyID>
        <CasePartyCategoryID>2</CasePartyCategoryID>
        <LegalEntityAddressID>86642022</LegalEntityAddressID>
        <GrandfatherName/>
        <DrivingLicenseNumber>7090794</DrivingLicenseNumber>
        <PleaTypeID>6</PleaTypeID>
        <GroupPartyAlias>משיבים</GroupPartyAlias>
        <IsConverted>false</IsConverted>
        <LegalEntityRegisteredNameID>3353283</LegalEntityRegisteredNameID>
        <LegalEntityNameID>95984924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נאור בן עמי</PublicationProhibitedFullName>
      </CaseParties>
    </CasePartiesSelectionDS>
    <CaseName>בן עמי נ' בן עמי</CaseName>
    <CaseDisplayIdentifier>26687-01-24</CaseDisplayIdentifier>
    <CaseInterestID>10514</CaseInterestID>
    <CaseTypeShortName>עמ"ש</CaseTypeShortName>
  </dt_DecisionCase>
  <dt_DecisionJudgePanel>
    <JudgeID>023469166@GOV.IL</JudgeID>
    <DisplayName>ג'יוסי</DisplayName>
    <RoleName>שופט</RoleName>
    <UserTitleName>שופט</UserTitleName>
  </dt_DecisionJudgePanel>
  <dt_DecisionJudgePanel>
    <JudgeID>028600542@GOV.IL</JudgeID>
    <DisplayName>אטיאס</DisplayName>
    <RoleName>שופט</RoleName>
    <UserTitleName>שופטת</UserTitleName>
  </dt_DecisionJudgePanel>
  <dt_DecisionJudgePanel>
    <JudgeID>027879451@GOV.IL</JudgeID>
    <DisplayName>סילמן</DisplayName>
    <RoleName>שופט</RoleName>
    <UserTitleName>שופט</UserTitleName>
  </dt_DecisionJudgePanel>
  <dt_LegalEntityDetails>
    <Fax>03-5274444</Fax>
    <Phone>03-5247777</Phone>
    <AddressDesc>קומה 21</AddressDesc>
    <PartyID>2</PartyID>
    <PartyTypeID>2</PartyTypeID>
    <DecisionID>0</DecisionID>
    <StreetName>דיזינגוף 50</StreetName>
    <ZipCode>64322</ZipCode>
    <CityName>תל אביב -יפו</CityName>
    <FullName>מקסים ליפקין</FullName>
    <Email>lipkin.lipkin1@gmail.com</Email>
    <IsPublicationProhibited>false</IsPublicationProhibited>
  </dt_LegalEntityDetails>
  <dt_LegalEntityDetails>
    <PartyID>1</PartyID>
    <PartyTypeID>1</PartyTypeID>
    <DecisionID>0</DecisionID>
    <StreetName>68</StreetName>
    <CityName>לימן</CityName>
    <FullName>דולב חשון בן עמי</FullName>
    <IsPublicationProhibited>false</IsPublicationProhibited>
  </dt_LegalEntityDetails>
  <dt_LegalEntityDetails>
    <PartyID>2</PartyID>
    <PartyTypeID>1</PartyTypeID>
    <DecisionID>0</DecisionID>
    <StreetName>מלחמת יום הכיפורים 8 א</StreetName>
    <CityName>נהרייה</CityName>
    <FullName>נאור בן עמי</FullName>
    <IsPublicationProhibited>false</IsPublicationProhibited>
  </dt_LegalEntityDetails>
  <dt_LegalEntityDetails>
    <Fax>04-6736511</Fax>
    <Phone>04-6736512</Phone>
    <AddressDesc>עמק הירדן</AddressDesc>
    <PartyID>1</PartyID>
    <PartyTypeID>2</PartyTypeID>
    <DecisionID>0</DecisionID>
    <StreetName>קיבוץ אפיקים</StreetName>
    <ZipCode>15148</ZipCode>
    <CityName>אפיקים</CityName>
    <FullName>דקל מנחמי</FullName>
    <Email>dekel@m-law-firm.com</Email>
    <IsPublicationProhibited>false</IsPublicationProhibited>
  </dt_LegalEntityDetails>
  <dt_CaseJudicalPersonActive>
    <CaseJudicalPerson>שופט סארי ג'יוסי, שופטת עפרה אטיאס, שופט ניצן סילמן</CaseJudicalPerson>
  </dt_CaseJudicalPersonActive>
  <dt_Sitting>
    <PreviousMeetingDate>2024-05-20T10:30:00+03:00</PreviousMeetingDate>
    <PreviousSittingTypeID>5</PreviousSittingTypeID>
    <PreviousMeetingDisplayName>סארי ג'יוסי, עפרה אטיאס, ניצן סילמן</PreviousMeetingDisplayName>
    <PreviousMeetingUserUPN>023469166@GOV.IL, 027879451@GOV.IL, 028600542@GOV.IL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AECFE-03E4-4106-81D8-5264950F5026}">
  <ds:schemaRefs/>
</ds:datastoreItem>
</file>

<file path=customXml/itemProps2.xml><?xml version="1.0" encoding="utf-8"?>
<ds:datastoreItem xmlns:ds="http://schemas.openxmlformats.org/officeDocument/2006/customXml" ds:itemID="{9B4CAE49-985A-433F-8FB1-8C5F891D5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1271</Words>
  <Characters>6357</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2024-05-26T07:58:00Z</cp:lastPrinted>
  <dcterms:created xsi:type="dcterms:W3CDTF">2024-06-04T07:52:00Z</dcterms:created>
  <dcterms:modified xsi:type="dcterms:W3CDTF">2024-06-04T07:52:00Z</dcterms:modified>
</cp:coreProperties>
</file>